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8112" w14:textId="77777777" w:rsidR="00C20AF3" w:rsidRDefault="00C20AF3" w:rsidP="001852CF">
      <w:pPr>
        <w:pStyle w:val="Title"/>
        <w:ind w:left="0" w:hanging="2"/>
        <w:rPr>
          <w:sz w:val="22"/>
          <w:szCs w:val="22"/>
        </w:rPr>
      </w:pPr>
    </w:p>
    <w:p w14:paraId="3D098AEF" w14:textId="2676E972" w:rsidR="001852CF" w:rsidRPr="001852CF" w:rsidRDefault="001852CF" w:rsidP="001852CF">
      <w:pPr>
        <w:pStyle w:val="Title"/>
        <w:ind w:left="0" w:hanging="2"/>
        <w:rPr>
          <w:sz w:val="22"/>
          <w:szCs w:val="22"/>
        </w:rPr>
      </w:pPr>
      <w:r w:rsidRPr="001852CF">
        <w:rPr>
          <w:sz w:val="22"/>
          <w:szCs w:val="22"/>
        </w:rPr>
        <w:t>European Convention on Human Rights: Law and Politics</w:t>
      </w:r>
    </w:p>
    <w:p w14:paraId="3223B669" w14:textId="68B64C09" w:rsidR="001852CF" w:rsidRPr="001852CF" w:rsidRDefault="001852CF" w:rsidP="001852CF">
      <w:pPr>
        <w:pStyle w:val="Title"/>
        <w:ind w:left="0" w:hanging="2"/>
        <w:rPr>
          <w:sz w:val="22"/>
          <w:szCs w:val="22"/>
        </w:rPr>
      </w:pPr>
      <w:r w:rsidRPr="001852CF">
        <w:rPr>
          <w:sz w:val="22"/>
          <w:szCs w:val="22"/>
        </w:rPr>
        <w:t>LW5120</w:t>
      </w:r>
    </w:p>
    <w:p w14:paraId="1F19ADD7" w14:textId="77777777" w:rsidR="001852CF" w:rsidRPr="001852CF" w:rsidRDefault="001852CF" w:rsidP="001852CF">
      <w:pPr>
        <w:ind w:left="0" w:hanging="2"/>
        <w:rPr>
          <w:rFonts w:ascii="Arial" w:hAnsi="Arial" w:cs="Arial"/>
          <w:sz w:val="22"/>
          <w:szCs w:val="22"/>
        </w:rPr>
      </w:pPr>
    </w:p>
    <w:p w14:paraId="372EE6D3" w14:textId="4D0818DD" w:rsidR="001852CF" w:rsidRPr="001852CF" w:rsidRDefault="00934A22" w:rsidP="001852CF">
      <w:pPr>
        <w:pStyle w:val="Title"/>
        <w:ind w:left="0" w:hanging="2"/>
        <w:rPr>
          <w:sz w:val="22"/>
          <w:szCs w:val="22"/>
        </w:rPr>
      </w:pPr>
      <w:r>
        <w:rPr>
          <w:sz w:val="22"/>
          <w:szCs w:val="22"/>
        </w:rPr>
        <w:t>202</w:t>
      </w:r>
      <w:r w:rsidR="0068052C">
        <w:rPr>
          <w:sz w:val="22"/>
          <w:szCs w:val="22"/>
        </w:rPr>
        <w:t>3</w:t>
      </w:r>
      <w:r>
        <w:rPr>
          <w:sz w:val="22"/>
          <w:szCs w:val="22"/>
        </w:rPr>
        <w:t>-202</w:t>
      </w:r>
      <w:r w:rsidR="0068052C">
        <w:rPr>
          <w:sz w:val="22"/>
          <w:szCs w:val="22"/>
        </w:rPr>
        <w:t>4</w:t>
      </w:r>
      <w:r w:rsidR="001852CF" w:rsidRPr="001852CF">
        <w:rPr>
          <w:sz w:val="22"/>
          <w:szCs w:val="22"/>
        </w:rPr>
        <w:t xml:space="preserve"> Course Outline </w:t>
      </w:r>
    </w:p>
    <w:p w14:paraId="1D59FEB4" w14:textId="77777777" w:rsidR="001852CF" w:rsidRPr="001852CF" w:rsidRDefault="001852CF" w:rsidP="001852CF">
      <w:pPr>
        <w:pBdr>
          <w:top w:val="nil"/>
          <w:left w:val="nil"/>
          <w:bottom w:val="nil"/>
          <w:right w:val="nil"/>
          <w:between w:val="nil"/>
        </w:pBdr>
        <w:spacing w:line="240" w:lineRule="auto"/>
        <w:ind w:left="0" w:hanging="2"/>
        <w:rPr>
          <w:rFonts w:ascii="Arial" w:eastAsia="Arial" w:hAnsi="Arial" w:cs="Arial"/>
          <w:color w:val="000000"/>
          <w:sz w:val="22"/>
          <w:szCs w:val="22"/>
        </w:rPr>
      </w:pPr>
    </w:p>
    <w:tbl>
      <w:tblPr>
        <w:tblW w:w="9351"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122"/>
        <w:gridCol w:w="1701"/>
        <w:gridCol w:w="1992"/>
        <w:gridCol w:w="564"/>
        <w:gridCol w:w="2972"/>
      </w:tblGrid>
      <w:tr w:rsidR="001852CF" w:rsidRPr="001852CF" w14:paraId="24915163" w14:textId="77777777" w:rsidTr="001852CF">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CEEE6" w14:textId="77777777" w:rsidR="001852CF" w:rsidRPr="001852CF" w:rsidRDefault="001852CF" w:rsidP="000224FA">
            <w:pPr>
              <w:tabs>
                <w:tab w:val="left" w:pos="-720"/>
              </w:tabs>
              <w:ind w:left="0" w:right="84" w:hanging="2"/>
              <w:jc w:val="center"/>
              <w:rPr>
                <w:rFonts w:ascii="Arial" w:eastAsia="Arial" w:hAnsi="Arial" w:cs="Arial"/>
                <w:sz w:val="22"/>
                <w:szCs w:val="22"/>
              </w:rPr>
            </w:pPr>
            <w:r w:rsidRPr="001852CF">
              <w:rPr>
                <w:rFonts w:ascii="Arial" w:eastAsia="Arial" w:hAnsi="Arial" w:cs="Arial"/>
                <w:b/>
                <w:sz w:val="22"/>
                <w:szCs w:val="22"/>
              </w:rPr>
              <w:t>Objective</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14:paraId="59B5A72C" w14:textId="77777777" w:rsidR="001852CF" w:rsidRPr="001852CF" w:rsidRDefault="001852CF" w:rsidP="000224FA">
            <w:pPr>
              <w:suppressAutoHyphens w:val="0"/>
              <w:spacing w:line="240" w:lineRule="auto"/>
              <w:ind w:leftChars="0" w:left="0" w:firstLineChars="0" w:firstLine="0"/>
              <w:textDirection w:val="lrTb"/>
              <w:textAlignment w:val="auto"/>
              <w:outlineLvl w:val="9"/>
              <w:rPr>
                <w:rFonts w:ascii="Arial" w:hAnsi="Arial" w:cs="Arial"/>
                <w:sz w:val="22"/>
                <w:szCs w:val="22"/>
              </w:rPr>
            </w:pPr>
          </w:p>
          <w:p w14:paraId="28DB36FA" w14:textId="2C0F223B" w:rsidR="001852CF" w:rsidRPr="001852CF" w:rsidRDefault="001852CF" w:rsidP="000224FA">
            <w:pPr>
              <w:suppressAutoHyphens w:val="0"/>
              <w:spacing w:line="240" w:lineRule="auto"/>
              <w:ind w:leftChars="0" w:left="0" w:firstLineChars="0" w:firstLine="0"/>
              <w:textDirection w:val="lrTb"/>
              <w:textAlignment w:val="auto"/>
              <w:outlineLvl w:val="9"/>
              <w:rPr>
                <w:rFonts w:ascii="Arial" w:hAnsi="Arial" w:cs="Arial"/>
                <w:sz w:val="22"/>
                <w:szCs w:val="22"/>
              </w:rPr>
            </w:pPr>
            <w:r w:rsidRPr="001852CF">
              <w:rPr>
                <w:rFonts w:ascii="Arial" w:hAnsi="Arial" w:cs="Arial"/>
                <w:sz w:val="22"/>
                <w:szCs w:val="22"/>
              </w:rPr>
              <w:t xml:space="preserve">This module will introduce students to the key principles underpinning the </w:t>
            </w:r>
            <w:r w:rsidR="00725C88">
              <w:rPr>
                <w:rFonts w:ascii="Arial" w:hAnsi="Arial" w:cs="Arial"/>
                <w:sz w:val="22"/>
                <w:szCs w:val="22"/>
              </w:rPr>
              <w:t xml:space="preserve">Council of Europe’s human rights system primarily focusing on the </w:t>
            </w:r>
            <w:r w:rsidRPr="001852CF">
              <w:rPr>
                <w:rFonts w:ascii="Arial" w:hAnsi="Arial" w:cs="Arial"/>
                <w:sz w:val="22"/>
                <w:szCs w:val="22"/>
              </w:rPr>
              <w:t xml:space="preserve">European Convention on Human Rights and core tenets of the Strasbourg Court’s case law, including areas of doctrinal tension and expansion, while examining current issues affecting the influence of the Convention and the Court on European legal and political systems.  </w:t>
            </w:r>
          </w:p>
          <w:p w14:paraId="7CD8CF30" w14:textId="77777777" w:rsidR="001852CF" w:rsidRPr="001852CF" w:rsidRDefault="001852CF" w:rsidP="000224FA">
            <w:pPr>
              <w:suppressAutoHyphens w:val="0"/>
              <w:spacing w:line="240" w:lineRule="auto"/>
              <w:ind w:leftChars="0" w:left="0" w:firstLineChars="0" w:firstLine="0"/>
              <w:textDirection w:val="lrTb"/>
              <w:textAlignment w:val="auto"/>
              <w:outlineLvl w:val="9"/>
              <w:rPr>
                <w:rFonts w:ascii="Arial" w:hAnsi="Arial" w:cs="Arial"/>
                <w:sz w:val="22"/>
                <w:szCs w:val="22"/>
              </w:rPr>
            </w:pPr>
          </w:p>
        </w:tc>
      </w:tr>
      <w:tr w:rsidR="001852CF" w:rsidRPr="001852CF" w14:paraId="4ED5C4AD" w14:textId="77777777" w:rsidTr="001852CF">
        <w:trPr>
          <w:trHeight w:val="120"/>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75EBFAA2" w14:textId="77777777" w:rsidR="001852CF" w:rsidRPr="001852CF" w:rsidRDefault="001852CF" w:rsidP="000224FA">
            <w:pPr>
              <w:tabs>
                <w:tab w:val="left" w:pos="-720"/>
              </w:tabs>
              <w:ind w:left="0" w:right="84" w:hanging="2"/>
              <w:jc w:val="center"/>
              <w:rPr>
                <w:rFonts w:ascii="Arial" w:eastAsia="Arial" w:hAnsi="Arial" w:cs="Arial"/>
                <w:sz w:val="22"/>
                <w:szCs w:val="22"/>
              </w:rPr>
            </w:pPr>
            <w:r w:rsidRPr="001852CF">
              <w:rPr>
                <w:rFonts w:ascii="Arial" w:eastAsia="Arial" w:hAnsi="Arial" w:cs="Arial"/>
                <w:b/>
                <w:sz w:val="22"/>
                <w:szCs w:val="22"/>
              </w:rPr>
              <w:t>Lecturer</w:t>
            </w:r>
          </w:p>
        </w:tc>
        <w:tc>
          <w:tcPr>
            <w:tcW w:w="1701" w:type="dxa"/>
            <w:tcBorders>
              <w:top w:val="single" w:sz="4" w:space="0" w:color="000000"/>
              <w:left w:val="single" w:sz="4" w:space="0" w:color="000000"/>
              <w:bottom w:val="nil"/>
              <w:right w:val="nil"/>
            </w:tcBorders>
            <w:shd w:val="clear" w:color="auto" w:fill="D9D9D9"/>
          </w:tcPr>
          <w:p w14:paraId="78FB177A" w14:textId="77777777" w:rsidR="001852CF" w:rsidRPr="001852CF" w:rsidRDefault="001852CF" w:rsidP="000224FA">
            <w:pPr>
              <w:tabs>
                <w:tab w:val="left" w:pos="-720"/>
              </w:tabs>
              <w:spacing w:before="60" w:after="60"/>
              <w:ind w:left="0" w:right="85" w:hanging="2"/>
              <w:rPr>
                <w:rFonts w:ascii="Arial" w:eastAsia="Arial" w:hAnsi="Arial" w:cs="Arial"/>
                <w:sz w:val="22"/>
                <w:szCs w:val="22"/>
              </w:rPr>
            </w:pPr>
            <w:r w:rsidRPr="001852CF">
              <w:rPr>
                <w:rFonts w:ascii="Arial" w:eastAsia="Arial" w:hAnsi="Arial" w:cs="Arial"/>
                <w:b/>
                <w:sz w:val="22"/>
                <w:szCs w:val="22"/>
              </w:rPr>
              <w:t>Name</w:t>
            </w:r>
          </w:p>
        </w:tc>
        <w:tc>
          <w:tcPr>
            <w:tcW w:w="1992" w:type="dxa"/>
            <w:tcBorders>
              <w:top w:val="single" w:sz="4" w:space="0" w:color="000000"/>
              <w:left w:val="nil"/>
              <w:bottom w:val="nil"/>
              <w:right w:val="nil"/>
            </w:tcBorders>
            <w:shd w:val="clear" w:color="auto" w:fill="D9D9D9"/>
          </w:tcPr>
          <w:p w14:paraId="53C0A29F" w14:textId="47B314DE" w:rsidR="001852CF" w:rsidRPr="001852CF" w:rsidRDefault="001852CF" w:rsidP="000224FA">
            <w:pPr>
              <w:tabs>
                <w:tab w:val="left" w:pos="-720"/>
              </w:tabs>
              <w:spacing w:before="60" w:after="60"/>
              <w:ind w:left="0" w:right="85" w:hanging="2"/>
              <w:rPr>
                <w:rFonts w:ascii="Arial" w:eastAsia="Arial" w:hAnsi="Arial" w:cs="Arial"/>
                <w:sz w:val="22"/>
                <w:szCs w:val="22"/>
              </w:rPr>
            </w:pPr>
            <w:r w:rsidRPr="001852CF">
              <w:rPr>
                <w:rFonts w:ascii="Arial" w:eastAsia="Arial" w:hAnsi="Arial" w:cs="Arial"/>
                <w:b/>
                <w:sz w:val="22"/>
                <w:szCs w:val="22"/>
              </w:rPr>
              <w:t>Office</w:t>
            </w:r>
            <w:r>
              <w:rPr>
                <w:rFonts w:ascii="Arial" w:eastAsia="Arial" w:hAnsi="Arial" w:cs="Arial"/>
                <w:b/>
                <w:sz w:val="22"/>
                <w:szCs w:val="22"/>
              </w:rPr>
              <w:t xml:space="preserve"> Hours</w:t>
            </w:r>
          </w:p>
        </w:tc>
        <w:tc>
          <w:tcPr>
            <w:tcW w:w="564" w:type="dxa"/>
            <w:tcBorders>
              <w:top w:val="single" w:sz="4" w:space="0" w:color="000000"/>
              <w:left w:val="nil"/>
              <w:bottom w:val="nil"/>
              <w:right w:val="nil"/>
            </w:tcBorders>
            <w:shd w:val="clear" w:color="auto" w:fill="D9D9D9"/>
          </w:tcPr>
          <w:p w14:paraId="202B9EFB" w14:textId="7DB5CC4E" w:rsidR="001852CF" w:rsidRPr="001852CF" w:rsidRDefault="001852CF" w:rsidP="000224FA">
            <w:pPr>
              <w:tabs>
                <w:tab w:val="left" w:pos="-720"/>
              </w:tabs>
              <w:spacing w:before="60" w:after="60"/>
              <w:ind w:left="0" w:right="85" w:hanging="2"/>
              <w:rPr>
                <w:rFonts w:ascii="Arial" w:eastAsia="Arial" w:hAnsi="Arial" w:cs="Arial"/>
                <w:sz w:val="22"/>
                <w:szCs w:val="22"/>
              </w:rPr>
            </w:pPr>
          </w:p>
        </w:tc>
        <w:tc>
          <w:tcPr>
            <w:tcW w:w="2972" w:type="dxa"/>
            <w:tcBorders>
              <w:top w:val="single" w:sz="4" w:space="0" w:color="000000"/>
              <w:left w:val="nil"/>
              <w:bottom w:val="nil"/>
              <w:right w:val="single" w:sz="4" w:space="0" w:color="000000"/>
            </w:tcBorders>
            <w:shd w:val="clear" w:color="auto" w:fill="D9D9D9"/>
          </w:tcPr>
          <w:p w14:paraId="447EC844" w14:textId="77777777" w:rsidR="001852CF" w:rsidRPr="001852CF" w:rsidRDefault="001852CF" w:rsidP="000224FA">
            <w:pPr>
              <w:tabs>
                <w:tab w:val="left" w:pos="-720"/>
              </w:tabs>
              <w:spacing w:before="60" w:after="60"/>
              <w:ind w:left="0" w:right="85" w:hanging="2"/>
              <w:rPr>
                <w:rFonts w:ascii="Arial" w:eastAsia="Arial" w:hAnsi="Arial" w:cs="Arial"/>
                <w:sz w:val="22"/>
                <w:szCs w:val="22"/>
              </w:rPr>
            </w:pPr>
            <w:r w:rsidRPr="001852CF">
              <w:rPr>
                <w:rFonts w:ascii="Arial" w:eastAsia="Arial" w:hAnsi="Arial" w:cs="Arial"/>
                <w:b/>
                <w:sz w:val="22"/>
                <w:szCs w:val="22"/>
              </w:rPr>
              <w:t>E-mail</w:t>
            </w:r>
          </w:p>
        </w:tc>
      </w:tr>
      <w:tr w:rsidR="001852CF" w:rsidRPr="001852CF" w14:paraId="089FD3D4" w14:textId="77777777" w:rsidTr="001852CF">
        <w:trPr>
          <w:trHeight w:val="120"/>
        </w:trPr>
        <w:tc>
          <w:tcPr>
            <w:tcW w:w="2122" w:type="dxa"/>
            <w:vMerge/>
            <w:tcBorders>
              <w:top w:val="single" w:sz="4" w:space="0" w:color="000000"/>
              <w:left w:val="single" w:sz="4" w:space="0" w:color="000000"/>
              <w:right w:val="single" w:sz="4" w:space="0" w:color="000000"/>
            </w:tcBorders>
            <w:shd w:val="clear" w:color="auto" w:fill="D9D9D9"/>
            <w:vAlign w:val="center"/>
          </w:tcPr>
          <w:p w14:paraId="79E6F0DE" w14:textId="77777777" w:rsidR="001852CF" w:rsidRPr="001852CF" w:rsidRDefault="001852CF" w:rsidP="000224FA">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701" w:type="dxa"/>
            <w:tcBorders>
              <w:top w:val="nil"/>
              <w:left w:val="single" w:sz="4" w:space="0" w:color="000000"/>
              <w:bottom w:val="nil"/>
              <w:right w:val="nil"/>
            </w:tcBorders>
            <w:shd w:val="clear" w:color="auto" w:fill="D9D9D9"/>
          </w:tcPr>
          <w:p w14:paraId="43E697F9" w14:textId="77777777" w:rsidR="001852CF" w:rsidRDefault="001852CF" w:rsidP="000224FA">
            <w:pPr>
              <w:tabs>
                <w:tab w:val="left" w:pos="-720"/>
              </w:tabs>
              <w:spacing w:before="60" w:after="60"/>
              <w:ind w:left="0" w:right="85" w:hanging="2"/>
              <w:rPr>
                <w:rFonts w:ascii="Arial" w:eastAsia="Arial" w:hAnsi="Arial" w:cs="Arial"/>
                <w:sz w:val="20"/>
                <w:szCs w:val="20"/>
              </w:rPr>
            </w:pPr>
            <w:r w:rsidRPr="001852CF">
              <w:rPr>
                <w:rFonts w:ascii="Arial" w:eastAsia="Arial" w:hAnsi="Arial" w:cs="Arial"/>
                <w:sz w:val="20"/>
                <w:szCs w:val="20"/>
              </w:rPr>
              <w:t xml:space="preserve">Dr </w:t>
            </w:r>
            <w:r w:rsidR="0068052C">
              <w:rPr>
                <w:rFonts w:ascii="Arial" w:eastAsia="Arial" w:hAnsi="Arial" w:cs="Arial"/>
                <w:sz w:val="20"/>
                <w:szCs w:val="20"/>
              </w:rPr>
              <w:t>Gerard Maguire</w:t>
            </w:r>
          </w:p>
          <w:p w14:paraId="2BB3748D" w14:textId="0364276E" w:rsidR="0068052C" w:rsidRPr="001852CF" w:rsidRDefault="0068052C" w:rsidP="000224FA">
            <w:pPr>
              <w:tabs>
                <w:tab w:val="left" w:pos="-720"/>
              </w:tabs>
              <w:spacing w:before="60" w:after="60"/>
              <w:ind w:left="0" w:right="85" w:hanging="2"/>
              <w:rPr>
                <w:rFonts w:ascii="Arial" w:eastAsia="Arial" w:hAnsi="Arial" w:cs="Arial"/>
                <w:sz w:val="20"/>
                <w:szCs w:val="20"/>
              </w:rPr>
            </w:pPr>
            <w:r>
              <w:rPr>
                <w:rFonts w:ascii="Arial" w:eastAsia="Arial" w:hAnsi="Arial" w:cs="Arial"/>
                <w:sz w:val="20"/>
                <w:szCs w:val="20"/>
              </w:rPr>
              <w:t>Dr Andrew Forde</w:t>
            </w:r>
          </w:p>
        </w:tc>
        <w:tc>
          <w:tcPr>
            <w:tcW w:w="1992" w:type="dxa"/>
            <w:tcBorders>
              <w:top w:val="nil"/>
              <w:left w:val="nil"/>
              <w:bottom w:val="nil"/>
              <w:right w:val="nil"/>
            </w:tcBorders>
            <w:shd w:val="clear" w:color="auto" w:fill="D9D9D9"/>
          </w:tcPr>
          <w:p w14:paraId="52A5DC50" w14:textId="1B4DBE47" w:rsidR="00AC7E75" w:rsidRPr="001852CF" w:rsidRDefault="0068052C" w:rsidP="0068052C">
            <w:pPr>
              <w:tabs>
                <w:tab w:val="left" w:pos="-720"/>
              </w:tabs>
              <w:spacing w:before="60" w:after="60"/>
              <w:ind w:leftChars="0" w:left="0" w:right="85" w:firstLineChars="0" w:firstLine="0"/>
              <w:rPr>
                <w:rFonts w:ascii="Arial" w:eastAsia="Arial" w:hAnsi="Arial" w:cs="Arial"/>
                <w:sz w:val="20"/>
                <w:szCs w:val="20"/>
              </w:rPr>
            </w:pPr>
            <w:r>
              <w:rPr>
                <w:rFonts w:ascii="Arial" w:eastAsia="Arial" w:hAnsi="Arial" w:cs="Arial"/>
                <w:sz w:val="20"/>
                <w:szCs w:val="20"/>
              </w:rPr>
              <w:t>E</w:t>
            </w:r>
            <w:r w:rsidR="00AC7E75">
              <w:rPr>
                <w:rFonts w:ascii="Arial" w:eastAsia="Arial" w:hAnsi="Arial" w:cs="Arial"/>
                <w:sz w:val="20"/>
                <w:szCs w:val="20"/>
              </w:rPr>
              <w:t>mail for appointment</w:t>
            </w:r>
          </w:p>
          <w:p w14:paraId="4CBBFCF0" w14:textId="3C345A2C" w:rsidR="001852CF" w:rsidRPr="001852CF" w:rsidRDefault="001852CF" w:rsidP="000224FA">
            <w:pPr>
              <w:tabs>
                <w:tab w:val="left" w:pos="-720"/>
              </w:tabs>
              <w:spacing w:before="60" w:after="60"/>
              <w:ind w:left="0" w:right="85" w:hanging="2"/>
              <w:rPr>
                <w:rFonts w:ascii="Arial" w:eastAsia="Arial" w:hAnsi="Arial" w:cs="Arial"/>
                <w:sz w:val="20"/>
                <w:szCs w:val="20"/>
              </w:rPr>
            </w:pPr>
            <w:r w:rsidRPr="001852CF">
              <w:rPr>
                <w:rFonts w:ascii="Arial" w:eastAsia="Arial" w:hAnsi="Arial" w:cs="Arial"/>
                <w:sz w:val="20"/>
                <w:szCs w:val="20"/>
              </w:rPr>
              <w:t xml:space="preserve"> </w:t>
            </w:r>
          </w:p>
        </w:tc>
        <w:tc>
          <w:tcPr>
            <w:tcW w:w="564" w:type="dxa"/>
            <w:tcBorders>
              <w:top w:val="nil"/>
              <w:left w:val="nil"/>
              <w:bottom w:val="nil"/>
              <w:right w:val="nil"/>
            </w:tcBorders>
            <w:shd w:val="clear" w:color="auto" w:fill="D9D9D9"/>
          </w:tcPr>
          <w:p w14:paraId="62E35D66" w14:textId="4E726EA9" w:rsidR="001852CF" w:rsidRPr="001852CF" w:rsidRDefault="001852CF" w:rsidP="000224FA">
            <w:pPr>
              <w:tabs>
                <w:tab w:val="left" w:pos="-720"/>
              </w:tabs>
              <w:spacing w:before="60" w:after="60"/>
              <w:ind w:left="0" w:right="85" w:hanging="2"/>
              <w:rPr>
                <w:rFonts w:ascii="Arial" w:eastAsia="Arial" w:hAnsi="Arial" w:cs="Arial"/>
                <w:sz w:val="20"/>
                <w:szCs w:val="20"/>
              </w:rPr>
            </w:pPr>
          </w:p>
        </w:tc>
        <w:tc>
          <w:tcPr>
            <w:tcW w:w="2972" w:type="dxa"/>
            <w:tcBorders>
              <w:top w:val="nil"/>
              <w:left w:val="nil"/>
              <w:bottom w:val="nil"/>
              <w:right w:val="single" w:sz="4" w:space="0" w:color="000000"/>
            </w:tcBorders>
            <w:shd w:val="clear" w:color="auto" w:fill="D9D9D9"/>
          </w:tcPr>
          <w:p w14:paraId="596B9CA5" w14:textId="77777777" w:rsidR="001852CF" w:rsidRDefault="0022796A" w:rsidP="00BD0DB8">
            <w:pPr>
              <w:tabs>
                <w:tab w:val="left" w:pos="-720"/>
              </w:tabs>
              <w:spacing w:before="60" w:after="60"/>
              <w:ind w:leftChars="0" w:left="0" w:right="85" w:firstLineChars="0" w:firstLine="0"/>
            </w:pPr>
            <w:hyperlink r:id="rId7" w:history="1">
              <w:r w:rsidR="0068052C" w:rsidRPr="00A954AD">
                <w:rPr>
                  <w:rStyle w:val="Hyperlink"/>
                </w:rPr>
                <w:t>Gerard.maguire@universityofgalway.ie</w:t>
              </w:r>
            </w:hyperlink>
            <w:r w:rsidR="0068052C">
              <w:t xml:space="preserve"> </w:t>
            </w:r>
          </w:p>
          <w:p w14:paraId="47830691" w14:textId="5372BEAF" w:rsidR="0068052C" w:rsidRPr="001852CF" w:rsidRDefault="0022796A" w:rsidP="00BD0DB8">
            <w:pPr>
              <w:tabs>
                <w:tab w:val="left" w:pos="-720"/>
              </w:tabs>
              <w:spacing w:before="60" w:after="60"/>
              <w:ind w:leftChars="0" w:left="0" w:right="85" w:firstLineChars="0" w:firstLine="0"/>
              <w:rPr>
                <w:rFonts w:ascii="Arial" w:eastAsia="Arial" w:hAnsi="Arial" w:cs="Arial"/>
                <w:sz w:val="20"/>
                <w:szCs w:val="20"/>
              </w:rPr>
            </w:pPr>
            <w:hyperlink r:id="rId8" w:history="1">
              <w:r w:rsidRPr="00535303">
                <w:rPr>
                  <w:rStyle w:val="Hyperlink"/>
                </w:rPr>
                <w:t>andrewforde@gmail.com</w:t>
              </w:r>
            </w:hyperlink>
            <w:r>
              <w:t xml:space="preserve"> </w:t>
            </w:r>
          </w:p>
        </w:tc>
      </w:tr>
      <w:tr w:rsidR="001852CF" w:rsidRPr="001852CF" w14:paraId="7D36E778" w14:textId="77777777" w:rsidTr="001852CF">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8E15BF" w14:textId="77777777" w:rsidR="001852CF" w:rsidRPr="001852CF" w:rsidRDefault="001852CF" w:rsidP="000224FA">
            <w:pPr>
              <w:tabs>
                <w:tab w:val="left" w:pos="-720"/>
              </w:tabs>
              <w:spacing w:before="280"/>
              <w:ind w:leftChars="0" w:left="0" w:right="84" w:firstLineChars="0" w:firstLine="0"/>
              <w:jc w:val="center"/>
              <w:rPr>
                <w:rFonts w:ascii="Arial" w:eastAsia="Arial" w:hAnsi="Arial" w:cs="Arial"/>
                <w:b/>
                <w:sz w:val="22"/>
                <w:szCs w:val="22"/>
              </w:rPr>
            </w:pPr>
            <w:r w:rsidRPr="001852CF">
              <w:rPr>
                <w:rFonts w:ascii="Arial" w:eastAsia="Arial" w:hAnsi="Arial" w:cs="Arial"/>
                <w:b/>
                <w:sz w:val="22"/>
                <w:szCs w:val="22"/>
              </w:rPr>
              <w:t xml:space="preserve">Learning Outcomes </w:t>
            </w:r>
          </w:p>
        </w:tc>
        <w:tc>
          <w:tcPr>
            <w:tcW w:w="7229" w:type="dxa"/>
            <w:gridSpan w:val="4"/>
            <w:tcBorders>
              <w:top w:val="single" w:sz="4" w:space="0" w:color="000000"/>
              <w:left w:val="single" w:sz="4" w:space="0" w:color="000000"/>
              <w:bottom w:val="single" w:sz="4" w:space="0" w:color="000000"/>
              <w:right w:val="single" w:sz="4" w:space="0" w:color="000000"/>
            </w:tcBorders>
          </w:tcPr>
          <w:p w14:paraId="43E54742" w14:textId="77777777" w:rsidR="001852CF" w:rsidRPr="001852CF" w:rsidRDefault="001852CF" w:rsidP="000224FA">
            <w:pPr>
              <w:spacing w:before="120" w:after="120"/>
              <w:ind w:leftChars="0" w:left="0" w:firstLineChars="0" w:firstLine="0"/>
              <w:rPr>
                <w:rFonts w:ascii="Arial" w:eastAsia="Arial" w:hAnsi="Arial" w:cs="Arial"/>
                <w:sz w:val="22"/>
                <w:szCs w:val="22"/>
              </w:rPr>
            </w:pPr>
            <w:r w:rsidRPr="001852CF">
              <w:rPr>
                <w:rFonts w:ascii="Arial" w:eastAsia="Arial" w:hAnsi="Arial" w:cs="Arial"/>
                <w:sz w:val="22"/>
                <w:szCs w:val="22"/>
              </w:rPr>
              <w:t xml:space="preserve">On successful completion of this module students will have: </w:t>
            </w:r>
          </w:p>
          <w:p w14:paraId="4DEB8704" w14:textId="0AC99B09" w:rsidR="001852CF" w:rsidRPr="001852CF" w:rsidRDefault="001852CF" w:rsidP="001852CF">
            <w:pPr>
              <w:pStyle w:val="ListParagraph"/>
              <w:numPr>
                <w:ilvl w:val="0"/>
                <w:numId w:val="1"/>
              </w:numPr>
              <w:spacing w:before="120" w:after="120"/>
              <w:ind w:leftChars="0" w:firstLineChars="0"/>
              <w:rPr>
                <w:rFonts w:ascii="Arial" w:eastAsia="Arial" w:hAnsi="Arial" w:cs="Arial"/>
              </w:rPr>
            </w:pPr>
            <w:r w:rsidRPr="001852CF">
              <w:rPr>
                <w:rFonts w:ascii="Arial" w:eastAsia="Arial" w:hAnsi="Arial" w:cs="Arial"/>
              </w:rPr>
              <w:t>Researched and discussed the procedures of the European Court of Human Rights (ECtHR)</w:t>
            </w:r>
            <w:r w:rsidR="00D829E6">
              <w:rPr>
                <w:rFonts w:ascii="Arial" w:eastAsia="Arial" w:hAnsi="Arial" w:cs="Arial"/>
              </w:rPr>
              <w:t xml:space="preserve"> and the supervisory function of the Council of Europe Committee of Ministers</w:t>
            </w:r>
            <w:r w:rsidRPr="001852CF">
              <w:rPr>
                <w:rFonts w:ascii="Arial" w:eastAsia="Arial" w:hAnsi="Arial" w:cs="Arial"/>
              </w:rPr>
              <w:t xml:space="preserve">; </w:t>
            </w:r>
          </w:p>
          <w:p w14:paraId="5FA78EB3" w14:textId="77777777" w:rsidR="001852CF" w:rsidRPr="001852CF" w:rsidRDefault="001852CF" w:rsidP="001852CF">
            <w:pPr>
              <w:pStyle w:val="ListParagraph"/>
              <w:numPr>
                <w:ilvl w:val="0"/>
                <w:numId w:val="1"/>
              </w:numPr>
              <w:spacing w:before="120" w:after="120"/>
              <w:ind w:leftChars="0" w:firstLineChars="0"/>
              <w:rPr>
                <w:rFonts w:ascii="Arial" w:eastAsia="Arial" w:hAnsi="Arial" w:cs="Arial"/>
              </w:rPr>
            </w:pPr>
            <w:r w:rsidRPr="001852CF">
              <w:rPr>
                <w:rFonts w:ascii="Arial" w:eastAsia="Arial" w:hAnsi="Arial" w:cs="Arial"/>
              </w:rPr>
              <w:t xml:space="preserve">Read, summarised the key facts and legal findings of, and critically appraised case law relating to several articles of the European Convention on Human Rights (ECHR); </w:t>
            </w:r>
          </w:p>
          <w:p w14:paraId="3A1A5899" w14:textId="77777777" w:rsidR="001852CF" w:rsidRPr="001852CF" w:rsidRDefault="001852CF" w:rsidP="001852CF">
            <w:pPr>
              <w:pStyle w:val="ListParagraph"/>
              <w:numPr>
                <w:ilvl w:val="0"/>
                <w:numId w:val="1"/>
              </w:numPr>
              <w:spacing w:before="120" w:after="120"/>
              <w:ind w:leftChars="0" w:firstLineChars="0"/>
              <w:rPr>
                <w:rFonts w:ascii="Arial" w:eastAsia="Arial" w:hAnsi="Arial" w:cs="Arial"/>
              </w:rPr>
            </w:pPr>
            <w:r w:rsidRPr="001852CF">
              <w:rPr>
                <w:rFonts w:ascii="Arial" w:eastAsia="Arial" w:hAnsi="Arial" w:cs="Arial"/>
              </w:rPr>
              <w:t>Demonstrated a clear understanding of the key underpinning principles, and the doctrinal development in a range of areas, of ECHR law; and</w:t>
            </w:r>
          </w:p>
          <w:p w14:paraId="1FC5AAD1" w14:textId="3592958F" w:rsidR="001852CF" w:rsidRPr="001852CF" w:rsidRDefault="001852CF" w:rsidP="001852CF">
            <w:pPr>
              <w:pStyle w:val="ListParagraph"/>
              <w:numPr>
                <w:ilvl w:val="0"/>
                <w:numId w:val="1"/>
              </w:numPr>
              <w:spacing w:before="120" w:after="120"/>
              <w:ind w:leftChars="0" w:firstLineChars="0"/>
              <w:rPr>
                <w:rFonts w:ascii="Arial" w:eastAsia="Arial" w:hAnsi="Arial" w:cs="Arial"/>
              </w:rPr>
            </w:pPr>
            <w:r w:rsidRPr="001852CF">
              <w:rPr>
                <w:rFonts w:ascii="Arial" w:eastAsia="Arial" w:hAnsi="Arial" w:cs="Arial"/>
              </w:rPr>
              <w:t xml:space="preserve">Communicated their critical analysis of the current position of ECHR law </w:t>
            </w:r>
            <w:r w:rsidR="00D829E6">
              <w:rPr>
                <w:rFonts w:ascii="Arial" w:eastAsia="Arial" w:hAnsi="Arial" w:cs="Arial"/>
              </w:rPr>
              <w:t xml:space="preserve">and politics </w:t>
            </w:r>
            <w:r w:rsidRPr="001852CF">
              <w:rPr>
                <w:rFonts w:ascii="Arial" w:eastAsia="Arial" w:hAnsi="Arial" w:cs="Arial"/>
              </w:rPr>
              <w:t xml:space="preserve">as it relates to an issue or set of issues arising in one or more European jurisdictions. </w:t>
            </w:r>
          </w:p>
        </w:tc>
      </w:tr>
      <w:tr w:rsidR="001852CF" w:rsidRPr="001852CF" w14:paraId="4414AFB9" w14:textId="77777777" w:rsidTr="001852CF">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AD4BD" w14:textId="77777777" w:rsidR="001852CF" w:rsidRPr="001852CF" w:rsidRDefault="001852CF" w:rsidP="000224FA">
            <w:pPr>
              <w:tabs>
                <w:tab w:val="left" w:pos="-720"/>
              </w:tabs>
              <w:spacing w:before="280"/>
              <w:ind w:leftChars="0" w:left="0" w:right="84" w:firstLineChars="0" w:firstLine="0"/>
              <w:jc w:val="center"/>
              <w:rPr>
                <w:rFonts w:ascii="Arial" w:eastAsia="Arial" w:hAnsi="Arial" w:cs="Arial"/>
                <w:b/>
                <w:sz w:val="22"/>
                <w:szCs w:val="22"/>
              </w:rPr>
            </w:pPr>
            <w:r w:rsidRPr="001852CF">
              <w:rPr>
                <w:rFonts w:ascii="Arial" w:eastAsia="Arial" w:hAnsi="Arial" w:cs="Arial"/>
                <w:b/>
                <w:sz w:val="22"/>
                <w:szCs w:val="22"/>
              </w:rPr>
              <w:t xml:space="preserve">Timetable </w:t>
            </w:r>
          </w:p>
          <w:p w14:paraId="3DA03119" w14:textId="77777777" w:rsidR="001852CF" w:rsidRPr="001852CF" w:rsidRDefault="001852CF" w:rsidP="000224FA">
            <w:pPr>
              <w:tabs>
                <w:tab w:val="left" w:pos="-720"/>
              </w:tabs>
              <w:spacing w:before="280"/>
              <w:ind w:leftChars="0" w:left="0" w:right="84" w:firstLineChars="0" w:firstLine="0"/>
              <w:jc w:val="center"/>
              <w:rPr>
                <w:rFonts w:ascii="Arial" w:eastAsia="Arial" w:hAnsi="Arial" w:cs="Arial"/>
                <w:b/>
                <w:sz w:val="22"/>
                <w:szCs w:val="22"/>
              </w:rPr>
            </w:pPr>
          </w:p>
        </w:tc>
        <w:tc>
          <w:tcPr>
            <w:tcW w:w="7229" w:type="dxa"/>
            <w:gridSpan w:val="4"/>
            <w:tcBorders>
              <w:top w:val="single" w:sz="4" w:space="0" w:color="000000"/>
              <w:left w:val="single" w:sz="4" w:space="0" w:color="000000"/>
              <w:bottom w:val="single" w:sz="4" w:space="0" w:color="000000"/>
              <w:right w:val="single" w:sz="4" w:space="0" w:color="000000"/>
            </w:tcBorders>
          </w:tcPr>
          <w:p w14:paraId="45886F23" w14:textId="2C062D3C" w:rsidR="001852CF" w:rsidRPr="001852CF" w:rsidRDefault="001852CF" w:rsidP="000224FA">
            <w:pPr>
              <w:spacing w:before="120" w:after="120"/>
              <w:ind w:leftChars="0" w:left="0" w:firstLineChars="0" w:firstLine="0"/>
              <w:rPr>
                <w:rFonts w:ascii="Arial" w:eastAsia="Arial" w:hAnsi="Arial" w:cs="Arial"/>
                <w:b/>
                <w:bCs/>
                <w:sz w:val="22"/>
                <w:szCs w:val="22"/>
              </w:rPr>
            </w:pPr>
            <w:r w:rsidRPr="001852CF">
              <w:rPr>
                <w:rFonts w:ascii="Arial" w:eastAsia="Arial" w:hAnsi="Arial" w:cs="Arial"/>
                <w:b/>
                <w:bCs/>
                <w:sz w:val="22"/>
                <w:szCs w:val="22"/>
              </w:rPr>
              <w:t xml:space="preserve">Semester </w:t>
            </w:r>
            <w:r w:rsidR="0068052C">
              <w:rPr>
                <w:rFonts w:ascii="Arial" w:eastAsia="Arial" w:hAnsi="Arial" w:cs="Arial"/>
                <w:b/>
                <w:bCs/>
                <w:sz w:val="22"/>
                <w:szCs w:val="22"/>
              </w:rPr>
              <w:t>2</w:t>
            </w:r>
            <w:r w:rsidRPr="001852CF">
              <w:rPr>
                <w:rFonts w:ascii="Arial" w:eastAsia="Arial" w:hAnsi="Arial" w:cs="Arial"/>
                <w:b/>
                <w:bCs/>
                <w:sz w:val="22"/>
                <w:szCs w:val="22"/>
              </w:rPr>
              <w:t xml:space="preserve"> Weeks </w:t>
            </w:r>
            <w:r w:rsidR="0068052C">
              <w:rPr>
                <w:rFonts w:ascii="Arial" w:eastAsia="Arial" w:hAnsi="Arial" w:cs="Arial"/>
                <w:b/>
                <w:bCs/>
                <w:sz w:val="22"/>
                <w:szCs w:val="22"/>
              </w:rPr>
              <w:t>1</w:t>
            </w:r>
            <w:r w:rsidRPr="001852CF">
              <w:rPr>
                <w:rFonts w:ascii="Arial" w:eastAsia="Arial" w:hAnsi="Arial" w:cs="Arial"/>
                <w:b/>
                <w:bCs/>
                <w:sz w:val="22"/>
                <w:szCs w:val="22"/>
              </w:rPr>
              <w:t>-</w:t>
            </w:r>
            <w:r w:rsidR="0068052C">
              <w:rPr>
                <w:rFonts w:ascii="Arial" w:eastAsia="Arial" w:hAnsi="Arial" w:cs="Arial"/>
                <w:b/>
                <w:bCs/>
                <w:sz w:val="22"/>
                <w:szCs w:val="22"/>
              </w:rPr>
              <w:t>8</w:t>
            </w:r>
            <w:r w:rsidRPr="001852CF">
              <w:rPr>
                <w:rFonts w:ascii="Arial" w:eastAsia="Arial" w:hAnsi="Arial" w:cs="Arial"/>
                <w:b/>
                <w:bCs/>
                <w:sz w:val="22"/>
                <w:szCs w:val="22"/>
              </w:rPr>
              <w:t>:</w:t>
            </w:r>
          </w:p>
          <w:p w14:paraId="1E1C7080" w14:textId="3FB9E1B7" w:rsidR="001852CF" w:rsidRPr="001852CF" w:rsidRDefault="0068052C" w:rsidP="000224FA">
            <w:pPr>
              <w:spacing w:before="120" w:after="120"/>
              <w:ind w:leftChars="0" w:left="0" w:firstLineChars="0" w:firstLine="0"/>
              <w:rPr>
                <w:rFonts w:ascii="Arial" w:eastAsia="Arial" w:hAnsi="Arial" w:cs="Arial"/>
                <w:sz w:val="22"/>
                <w:szCs w:val="22"/>
              </w:rPr>
            </w:pPr>
            <w:r>
              <w:rPr>
                <w:rFonts w:ascii="Arial" w:eastAsia="Arial" w:hAnsi="Arial" w:cs="Arial"/>
                <w:sz w:val="22"/>
                <w:szCs w:val="22"/>
              </w:rPr>
              <w:t>Friday</w:t>
            </w:r>
            <w:r w:rsidR="00934A22">
              <w:rPr>
                <w:rFonts w:ascii="Arial" w:eastAsia="Arial" w:hAnsi="Arial" w:cs="Arial"/>
                <w:sz w:val="22"/>
                <w:szCs w:val="22"/>
              </w:rPr>
              <w:t xml:space="preserve">s </w:t>
            </w:r>
            <w:r>
              <w:rPr>
                <w:rFonts w:ascii="Arial" w:eastAsia="Arial" w:hAnsi="Arial" w:cs="Arial"/>
                <w:sz w:val="22"/>
                <w:szCs w:val="22"/>
              </w:rPr>
              <w:t>14:00 – 17:00</w:t>
            </w:r>
          </w:p>
        </w:tc>
      </w:tr>
      <w:tr w:rsidR="001852CF" w:rsidRPr="001852CF" w14:paraId="6305C5FB" w14:textId="77777777" w:rsidTr="001852CF">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A62226" w14:textId="77777777" w:rsidR="001852CF" w:rsidRPr="001852CF" w:rsidRDefault="001852CF" w:rsidP="000224FA">
            <w:pPr>
              <w:tabs>
                <w:tab w:val="left" w:pos="-720"/>
              </w:tabs>
              <w:spacing w:before="280"/>
              <w:ind w:leftChars="0" w:left="0" w:right="84" w:firstLineChars="0" w:firstLine="0"/>
              <w:jc w:val="center"/>
              <w:rPr>
                <w:rFonts w:ascii="Arial" w:eastAsia="Arial" w:hAnsi="Arial" w:cs="Arial"/>
                <w:sz w:val="22"/>
                <w:szCs w:val="22"/>
              </w:rPr>
            </w:pPr>
            <w:r w:rsidRPr="001852CF">
              <w:rPr>
                <w:rFonts w:ascii="Arial" w:eastAsia="Arial" w:hAnsi="Arial" w:cs="Arial"/>
                <w:b/>
                <w:sz w:val="22"/>
                <w:szCs w:val="22"/>
              </w:rPr>
              <w:t>Workload</w:t>
            </w:r>
          </w:p>
        </w:tc>
        <w:tc>
          <w:tcPr>
            <w:tcW w:w="7229" w:type="dxa"/>
            <w:gridSpan w:val="4"/>
            <w:tcBorders>
              <w:top w:val="single" w:sz="4" w:space="0" w:color="000000"/>
              <w:left w:val="single" w:sz="4" w:space="0" w:color="000000"/>
              <w:bottom w:val="single" w:sz="4" w:space="0" w:color="000000"/>
              <w:right w:val="single" w:sz="4" w:space="0" w:color="000000"/>
            </w:tcBorders>
          </w:tcPr>
          <w:p w14:paraId="4878F2C2" w14:textId="29E1D884" w:rsidR="001852CF" w:rsidRPr="001852CF" w:rsidRDefault="001852CF" w:rsidP="000224FA">
            <w:pPr>
              <w:spacing w:before="120" w:after="120"/>
              <w:ind w:leftChars="0" w:left="0" w:firstLineChars="0" w:firstLine="0"/>
              <w:rPr>
                <w:rFonts w:ascii="Arial" w:eastAsia="Arial" w:hAnsi="Arial" w:cs="Arial"/>
                <w:color w:val="000000"/>
                <w:sz w:val="22"/>
                <w:szCs w:val="22"/>
              </w:rPr>
            </w:pPr>
            <w:r w:rsidRPr="001852CF">
              <w:rPr>
                <w:rFonts w:ascii="Arial" w:eastAsia="Arial" w:hAnsi="Arial" w:cs="Arial"/>
                <w:sz w:val="22"/>
                <w:szCs w:val="22"/>
              </w:rPr>
              <w:t>10 ECTS</w:t>
            </w:r>
            <w:r w:rsidR="007B67D2">
              <w:rPr>
                <w:rFonts w:ascii="Arial" w:eastAsia="Arial" w:hAnsi="Arial" w:cs="Arial"/>
                <w:sz w:val="22"/>
                <w:szCs w:val="22"/>
              </w:rPr>
              <w:t xml:space="preserve"> 24 Teaching Hours</w:t>
            </w:r>
          </w:p>
        </w:tc>
      </w:tr>
      <w:tr w:rsidR="001852CF" w:rsidRPr="001852CF" w14:paraId="7680670D" w14:textId="77777777" w:rsidTr="001852CF">
        <w:trPr>
          <w:trHeight w:val="760"/>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890F4A" w14:textId="77777777" w:rsidR="001852CF" w:rsidRPr="001852CF" w:rsidRDefault="001852CF" w:rsidP="000224FA">
            <w:pPr>
              <w:tabs>
                <w:tab w:val="left" w:pos="-720"/>
              </w:tabs>
              <w:ind w:left="0" w:right="84" w:hanging="2"/>
              <w:jc w:val="center"/>
              <w:rPr>
                <w:rFonts w:ascii="Arial" w:eastAsia="Arial" w:hAnsi="Arial" w:cs="Arial"/>
                <w:sz w:val="22"/>
                <w:szCs w:val="22"/>
              </w:rPr>
            </w:pPr>
            <w:r w:rsidRPr="001852CF">
              <w:rPr>
                <w:rFonts w:ascii="Arial" w:eastAsia="Arial" w:hAnsi="Arial" w:cs="Arial"/>
                <w:b/>
                <w:sz w:val="22"/>
                <w:szCs w:val="22"/>
              </w:rPr>
              <w:t>Format</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14:paraId="190FADF5" w14:textId="583BF91F" w:rsidR="001852CF" w:rsidRDefault="00934A22" w:rsidP="000224FA">
            <w:pPr>
              <w:tabs>
                <w:tab w:val="left" w:pos="-720"/>
              </w:tabs>
              <w:spacing w:before="60" w:after="60"/>
              <w:ind w:leftChars="0" w:left="0" w:right="85" w:firstLineChars="0" w:firstLine="0"/>
              <w:rPr>
                <w:rFonts w:ascii="Arial" w:eastAsia="Arial" w:hAnsi="Arial" w:cs="Arial"/>
                <w:sz w:val="22"/>
                <w:szCs w:val="22"/>
              </w:rPr>
            </w:pPr>
            <w:r w:rsidRPr="00D60CCF">
              <w:rPr>
                <w:rFonts w:ascii="Arial" w:eastAsia="Arial" w:hAnsi="Arial" w:cs="Arial"/>
                <w:sz w:val="22"/>
                <w:szCs w:val="22"/>
              </w:rPr>
              <w:t>In-person</w:t>
            </w:r>
            <w:r w:rsidR="00AC7E75">
              <w:rPr>
                <w:rFonts w:ascii="Arial" w:eastAsia="Arial" w:hAnsi="Arial" w:cs="Arial"/>
                <w:sz w:val="22"/>
                <w:szCs w:val="22"/>
              </w:rPr>
              <w:t xml:space="preserve"> </w:t>
            </w:r>
          </w:p>
          <w:p w14:paraId="773809FE" w14:textId="3BE43F4C" w:rsidR="00D60CCF" w:rsidRDefault="00D60CCF" w:rsidP="000224FA">
            <w:pPr>
              <w:tabs>
                <w:tab w:val="left" w:pos="-720"/>
              </w:tabs>
              <w:spacing w:before="60" w:after="60"/>
              <w:ind w:leftChars="0" w:left="0" w:right="85" w:firstLineChars="0" w:firstLine="0"/>
              <w:rPr>
                <w:rFonts w:ascii="Arial" w:eastAsia="Arial" w:hAnsi="Arial" w:cs="Arial"/>
                <w:sz w:val="22"/>
                <w:szCs w:val="22"/>
              </w:rPr>
            </w:pPr>
          </w:p>
          <w:p w14:paraId="781C734E" w14:textId="30891E7B" w:rsidR="00D60CCF" w:rsidRPr="001852CF" w:rsidRDefault="00AC7E75" w:rsidP="00BD0DB8">
            <w:pPr>
              <w:tabs>
                <w:tab w:val="left" w:pos="-720"/>
              </w:tabs>
              <w:spacing w:before="60" w:after="60"/>
              <w:ind w:leftChars="0" w:left="0" w:right="85" w:firstLineChars="0" w:firstLine="0"/>
              <w:rPr>
                <w:rFonts w:ascii="Arial" w:eastAsia="Arial" w:hAnsi="Arial" w:cs="Arial"/>
                <w:sz w:val="22"/>
                <w:szCs w:val="22"/>
              </w:rPr>
            </w:pPr>
            <w:r>
              <w:rPr>
                <w:rFonts w:ascii="Arial" w:eastAsia="Arial" w:hAnsi="Arial" w:cs="Arial"/>
                <w:b/>
                <w:bCs/>
                <w:sz w:val="22"/>
                <w:szCs w:val="22"/>
              </w:rPr>
              <w:t>Class</w:t>
            </w:r>
            <w:r w:rsidR="00D60CCF">
              <w:rPr>
                <w:rFonts w:ascii="Arial" w:eastAsia="Arial" w:hAnsi="Arial" w:cs="Arial"/>
                <w:b/>
                <w:bCs/>
                <w:sz w:val="22"/>
                <w:szCs w:val="22"/>
              </w:rPr>
              <w:t xml:space="preserve"> venue is </w:t>
            </w:r>
            <w:r>
              <w:rPr>
                <w:rFonts w:ascii="Arial" w:hAnsi="Arial" w:cs="Arial"/>
                <w:b/>
                <w:bCs/>
                <w:color w:val="201F1E"/>
                <w:sz w:val="22"/>
                <w:szCs w:val="22"/>
                <w:shd w:val="clear" w:color="auto" w:fill="FFFFFF"/>
              </w:rPr>
              <w:t>the seminar room, Irish Centre for Human Rights</w:t>
            </w:r>
          </w:p>
        </w:tc>
      </w:tr>
      <w:tr w:rsidR="001852CF" w:rsidRPr="001852CF" w14:paraId="1B85BE73" w14:textId="77777777" w:rsidTr="001852CF">
        <w:trPr>
          <w:trHeight w:val="760"/>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FE5755" w14:textId="77777777" w:rsidR="001852CF" w:rsidRPr="001852CF" w:rsidRDefault="001852CF" w:rsidP="000224FA">
            <w:pPr>
              <w:tabs>
                <w:tab w:val="left" w:pos="-720"/>
              </w:tabs>
              <w:ind w:left="0" w:right="84" w:hanging="2"/>
              <w:jc w:val="center"/>
              <w:rPr>
                <w:rFonts w:ascii="Arial" w:eastAsia="Arial" w:hAnsi="Arial" w:cs="Arial"/>
                <w:sz w:val="22"/>
                <w:szCs w:val="22"/>
              </w:rPr>
            </w:pPr>
            <w:r w:rsidRPr="001852CF">
              <w:rPr>
                <w:rFonts w:ascii="Arial" w:eastAsia="Arial" w:hAnsi="Arial" w:cs="Arial"/>
                <w:b/>
                <w:sz w:val="22"/>
                <w:szCs w:val="22"/>
              </w:rPr>
              <w:t>Programme(s)</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14:paraId="56692A39" w14:textId="52CF500F" w:rsidR="001852CF" w:rsidRPr="001852CF" w:rsidRDefault="001852CF" w:rsidP="000224FA">
            <w:pPr>
              <w:tabs>
                <w:tab w:val="left" w:pos="-720"/>
              </w:tabs>
              <w:spacing w:before="60" w:after="60"/>
              <w:ind w:left="0" w:right="85" w:hanging="2"/>
              <w:rPr>
                <w:rFonts w:ascii="Arial" w:eastAsia="Arial" w:hAnsi="Arial" w:cs="Arial"/>
                <w:sz w:val="22"/>
                <w:szCs w:val="22"/>
              </w:rPr>
            </w:pPr>
            <w:r w:rsidRPr="001852CF">
              <w:rPr>
                <w:rFonts w:ascii="Arial" w:eastAsia="Arial" w:hAnsi="Arial" w:cs="Arial"/>
                <w:sz w:val="22"/>
                <w:szCs w:val="22"/>
              </w:rPr>
              <w:t xml:space="preserve">All LLM programmes at the School of Law, </w:t>
            </w:r>
            <w:r w:rsidR="00AC7E75">
              <w:rPr>
                <w:rFonts w:ascii="Arial" w:eastAsia="Arial" w:hAnsi="Arial" w:cs="Arial"/>
                <w:sz w:val="22"/>
                <w:szCs w:val="22"/>
              </w:rPr>
              <w:t>University of</w:t>
            </w:r>
            <w:r w:rsidRPr="001852CF">
              <w:rPr>
                <w:rFonts w:ascii="Arial" w:eastAsia="Arial" w:hAnsi="Arial" w:cs="Arial"/>
                <w:sz w:val="22"/>
                <w:szCs w:val="22"/>
              </w:rPr>
              <w:t xml:space="preserve"> Galway. </w:t>
            </w:r>
          </w:p>
        </w:tc>
      </w:tr>
      <w:tr w:rsidR="001852CF" w:rsidRPr="001852CF" w14:paraId="652B92B0" w14:textId="77777777" w:rsidTr="001852CF">
        <w:trPr>
          <w:trHeight w:val="760"/>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E81146" w14:textId="77777777" w:rsidR="001852CF" w:rsidRPr="001852CF" w:rsidRDefault="001852CF" w:rsidP="000224FA">
            <w:pPr>
              <w:tabs>
                <w:tab w:val="left" w:pos="-720"/>
              </w:tabs>
              <w:ind w:left="0" w:right="84" w:hanging="2"/>
              <w:jc w:val="center"/>
              <w:rPr>
                <w:rFonts w:ascii="Arial" w:eastAsia="Arial" w:hAnsi="Arial" w:cs="Arial"/>
                <w:sz w:val="22"/>
                <w:szCs w:val="22"/>
              </w:rPr>
            </w:pPr>
            <w:r w:rsidRPr="001852CF">
              <w:rPr>
                <w:rFonts w:ascii="Arial" w:eastAsia="Arial" w:hAnsi="Arial" w:cs="Arial"/>
                <w:b/>
                <w:sz w:val="22"/>
                <w:szCs w:val="22"/>
              </w:rPr>
              <w:lastRenderedPageBreak/>
              <w:t>Course Material</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14:paraId="69F65232" w14:textId="1B26F754" w:rsidR="001852CF" w:rsidRDefault="001852CF" w:rsidP="001852CF">
            <w:pPr>
              <w:tabs>
                <w:tab w:val="left" w:pos="-720"/>
              </w:tabs>
              <w:spacing w:before="120" w:after="120"/>
              <w:ind w:left="0" w:right="85" w:hanging="2"/>
              <w:rPr>
                <w:rFonts w:ascii="Arial" w:eastAsia="Arial" w:hAnsi="Arial" w:cs="Arial"/>
                <w:sz w:val="22"/>
                <w:szCs w:val="22"/>
              </w:rPr>
            </w:pPr>
            <w:r w:rsidRPr="001852CF">
              <w:rPr>
                <w:rFonts w:ascii="Arial" w:eastAsia="Arial" w:hAnsi="Arial" w:cs="Arial"/>
                <w:sz w:val="22"/>
                <w:szCs w:val="22"/>
              </w:rPr>
              <w:t xml:space="preserve">Course materials will be available on Blackboard and through the </w:t>
            </w:r>
            <w:r w:rsidR="00AC7E75">
              <w:rPr>
                <w:rFonts w:ascii="Arial" w:eastAsia="Arial" w:hAnsi="Arial" w:cs="Arial"/>
                <w:sz w:val="22"/>
                <w:szCs w:val="22"/>
              </w:rPr>
              <w:t>University of Galway</w:t>
            </w:r>
            <w:r w:rsidRPr="001852CF">
              <w:rPr>
                <w:rFonts w:ascii="Arial" w:eastAsia="Arial" w:hAnsi="Arial" w:cs="Arial"/>
                <w:sz w:val="22"/>
                <w:szCs w:val="22"/>
              </w:rPr>
              <w:t xml:space="preserve"> Library. </w:t>
            </w:r>
            <w:r>
              <w:rPr>
                <w:rFonts w:ascii="Arial" w:eastAsia="Arial" w:hAnsi="Arial" w:cs="Arial"/>
                <w:sz w:val="22"/>
                <w:szCs w:val="22"/>
              </w:rPr>
              <w:t>Required reading will be posted a week in advance of each seminar.</w:t>
            </w:r>
            <w:r w:rsidRPr="001852CF">
              <w:rPr>
                <w:rFonts w:ascii="Arial" w:eastAsia="Arial" w:hAnsi="Arial" w:cs="Arial"/>
                <w:sz w:val="22"/>
                <w:szCs w:val="22"/>
              </w:rPr>
              <w:t xml:space="preserve">  </w:t>
            </w:r>
          </w:p>
          <w:p w14:paraId="212002B3" w14:textId="77777777" w:rsidR="00E81727" w:rsidRPr="001852CF" w:rsidRDefault="00E81727" w:rsidP="001852CF">
            <w:pPr>
              <w:tabs>
                <w:tab w:val="left" w:pos="-720"/>
              </w:tabs>
              <w:spacing w:before="120" w:after="120"/>
              <w:ind w:left="0" w:right="85" w:hanging="2"/>
              <w:rPr>
                <w:rFonts w:ascii="Arial" w:eastAsia="Arial" w:hAnsi="Arial" w:cs="Arial"/>
                <w:sz w:val="22"/>
                <w:szCs w:val="22"/>
              </w:rPr>
            </w:pPr>
          </w:p>
          <w:p w14:paraId="01114FD5" w14:textId="11597DB4" w:rsidR="001852CF" w:rsidRPr="001852CF" w:rsidRDefault="001852CF" w:rsidP="001852CF">
            <w:pPr>
              <w:tabs>
                <w:tab w:val="left" w:pos="-720"/>
              </w:tabs>
              <w:spacing w:before="120" w:after="120"/>
              <w:ind w:left="0" w:right="85" w:hanging="2"/>
              <w:rPr>
                <w:rFonts w:ascii="Arial" w:eastAsia="Arial" w:hAnsi="Arial" w:cs="Arial"/>
                <w:b/>
                <w:bCs/>
                <w:sz w:val="22"/>
                <w:szCs w:val="22"/>
              </w:rPr>
            </w:pPr>
            <w:r w:rsidRPr="001852CF">
              <w:rPr>
                <w:rFonts w:ascii="Arial" w:eastAsia="Arial" w:hAnsi="Arial" w:cs="Arial"/>
                <w:b/>
                <w:bCs/>
                <w:sz w:val="22"/>
                <w:szCs w:val="22"/>
              </w:rPr>
              <w:t>Core texts</w:t>
            </w:r>
          </w:p>
          <w:p w14:paraId="35C12060" w14:textId="009F9DD0" w:rsidR="001852CF" w:rsidRPr="001852CF" w:rsidRDefault="001852CF" w:rsidP="001852CF">
            <w:pPr>
              <w:tabs>
                <w:tab w:val="left" w:pos="-720"/>
              </w:tabs>
              <w:spacing w:before="120" w:after="120"/>
              <w:ind w:leftChars="0" w:left="0" w:right="85" w:firstLineChars="0" w:firstLine="0"/>
              <w:rPr>
                <w:rFonts w:ascii="Arial" w:eastAsia="Arial" w:hAnsi="Arial" w:cs="Arial"/>
                <w:sz w:val="22"/>
                <w:szCs w:val="22"/>
              </w:rPr>
            </w:pPr>
            <w:r w:rsidRPr="001852CF">
              <w:rPr>
                <w:rFonts w:ascii="Arial" w:eastAsia="Arial" w:hAnsi="Arial" w:cs="Arial"/>
                <w:sz w:val="22"/>
                <w:szCs w:val="22"/>
              </w:rPr>
              <w:t>You are encouraged to use</w:t>
            </w:r>
            <w:r>
              <w:rPr>
                <w:rFonts w:ascii="Arial" w:eastAsia="Arial" w:hAnsi="Arial" w:cs="Arial"/>
                <w:sz w:val="22"/>
                <w:szCs w:val="22"/>
              </w:rPr>
              <w:t>,</w:t>
            </w:r>
            <w:r w:rsidRPr="001852CF">
              <w:rPr>
                <w:rFonts w:ascii="Arial" w:eastAsia="Arial" w:hAnsi="Arial" w:cs="Arial"/>
                <w:sz w:val="22"/>
                <w:szCs w:val="22"/>
              </w:rPr>
              <w:t xml:space="preserve"> as a main text for this course, William A Schabas, </w:t>
            </w:r>
            <w:r w:rsidRPr="001852CF">
              <w:rPr>
                <w:rFonts w:ascii="Arial" w:eastAsia="Arial" w:hAnsi="Arial" w:cs="Arial"/>
                <w:i/>
                <w:iCs/>
                <w:sz w:val="22"/>
                <w:szCs w:val="22"/>
              </w:rPr>
              <w:t xml:space="preserve">The European Convention on Human Rights: A Commentary </w:t>
            </w:r>
            <w:r w:rsidRPr="001852CF">
              <w:rPr>
                <w:rFonts w:ascii="Arial" w:eastAsia="Arial" w:hAnsi="Arial" w:cs="Arial"/>
                <w:sz w:val="22"/>
                <w:szCs w:val="22"/>
              </w:rPr>
              <w:t xml:space="preserve">(OUP 2015), </w:t>
            </w:r>
            <w:r w:rsidRPr="001852CF">
              <w:rPr>
                <w:rFonts w:ascii="Arial" w:eastAsia="Arial" w:hAnsi="Arial" w:cs="Arial"/>
                <w:b/>
                <w:bCs/>
                <w:sz w:val="22"/>
                <w:szCs w:val="22"/>
              </w:rPr>
              <w:t>available online</w:t>
            </w:r>
            <w:r w:rsidRPr="001852CF">
              <w:rPr>
                <w:rFonts w:ascii="Arial" w:eastAsia="Arial" w:hAnsi="Arial" w:cs="Arial"/>
                <w:sz w:val="22"/>
                <w:szCs w:val="22"/>
              </w:rPr>
              <w:t xml:space="preserve">: </w:t>
            </w:r>
            <w:hyperlink r:id="rId9" w:history="1">
              <w:r w:rsidRPr="001852CF">
                <w:rPr>
                  <w:rStyle w:val="Hyperlink"/>
                  <w:rFonts w:ascii="Arial" w:eastAsia="Arial" w:hAnsi="Arial" w:cs="Arial"/>
                  <w:sz w:val="22"/>
                  <w:szCs w:val="22"/>
                </w:rPr>
                <w:t>https://search.library.nuigalway.ie/permalink/f/3b1kce/TN_cdi_askewsholts_vlebooks_9780191066771</w:t>
              </w:r>
            </w:hyperlink>
            <w:r w:rsidR="00AC7E75">
              <w:rPr>
                <w:rStyle w:val="Hyperlink"/>
                <w:rFonts w:ascii="Arial" w:eastAsia="Arial" w:hAnsi="Arial" w:cs="Arial"/>
                <w:sz w:val="22"/>
                <w:szCs w:val="22"/>
              </w:rPr>
              <w:t xml:space="preserve"> </w:t>
            </w:r>
          </w:p>
          <w:p w14:paraId="40799A57" w14:textId="416F74D5" w:rsidR="001852CF" w:rsidRPr="001852CF" w:rsidRDefault="001852CF" w:rsidP="000224FA">
            <w:pPr>
              <w:ind w:left="0" w:hanging="2"/>
              <w:rPr>
                <w:rFonts w:ascii="Arial" w:hAnsi="Arial" w:cs="Arial"/>
                <w:sz w:val="22"/>
                <w:szCs w:val="22"/>
              </w:rPr>
            </w:pPr>
            <w:r w:rsidRPr="001852CF">
              <w:rPr>
                <w:rFonts w:ascii="Arial" w:hAnsi="Arial" w:cs="Arial"/>
                <w:sz w:val="22"/>
                <w:szCs w:val="22"/>
              </w:rPr>
              <w:t xml:space="preserve">The European Court of Human Rights’ case-law guides are another extremely useful resource: </w:t>
            </w:r>
            <w:hyperlink r:id="rId10" w:history="1">
              <w:r w:rsidRPr="001852CF">
                <w:rPr>
                  <w:rStyle w:val="Hyperlink"/>
                  <w:rFonts w:ascii="Arial" w:hAnsi="Arial" w:cs="Arial"/>
                  <w:sz w:val="22"/>
                  <w:szCs w:val="22"/>
                </w:rPr>
                <w:t>https://www.echr.coe.int/Pages/home.aspx?p=caselaw/analysis/guides&amp;c=#</w:t>
              </w:r>
            </w:hyperlink>
            <w:r w:rsidRPr="001852CF">
              <w:rPr>
                <w:rFonts w:ascii="Arial" w:hAnsi="Arial" w:cs="Arial"/>
                <w:sz w:val="22"/>
                <w:szCs w:val="22"/>
              </w:rPr>
              <w:t xml:space="preserve"> </w:t>
            </w:r>
          </w:p>
          <w:p w14:paraId="75EBB05F" w14:textId="47E0BDFF" w:rsidR="001852CF" w:rsidRPr="001852CF" w:rsidRDefault="001852CF" w:rsidP="001852CF">
            <w:pPr>
              <w:ind w:leftChars="0" w:left="0" w:firstLineChars="0" w:firstLine="0"/>
              <w:rPr>
                <w:rFonts w:ascii="Arial" w:hAnsi="Arial" w:cs="Arial"/>
                <w:sz w:val="22"/>
                <w:szCs w:val="22"/>
              </w:rPr>
            </w:pPr>
          </w:p>
          <w:p w14:paraId="13E5BCC7" w14:textId="29C10710" w:rsidR="001852CF" w:rsidRPr="001852CF" w:rsidRDefault="001852CF" w:rsidP="000224FA">
            <w:pPr>
              <w:ind w:left="0" w:hanging="2"/>
              <w:rPr>
                <w:rFonts w:ascii="Arial" w:hAnsi="Arial" w:cs="Arial"/>
                <w:sz w:val="22"/>
                <w:szCs w:val="22"/>
              </w:rPr>
            </w:pPr>
            <w:r w:rsidRPr="001852CF">
              <w:rPr>
                <w:rFonts w:ascii="Arial" w:hAnsi="Arial" w:cs="Arial"/>
                <w:b/>
                <w:bCs/>
                <w:sz w:val="22"/>
                <w:szCs w:val="22"/>
              </w:rPr>
              <w:t>Other useful texts</w:t>
            </w:r>
            <w:r w:rsidRPr="001852CF">
              <w:rPr>
                <w:rFonts w:ascii="Arial" w:hAnsi="Arial" w:cs="Arial"/>
                <w:sz w:val="22"/>
                <w:szCs w:val="22"/>
              </w:rPr>
              <w:t>:</w:t>
            </w:r>
          </w:p>
          <w:p w14:paraId="74FB53C4" w14:textId="75DC33AC" w:rsidR="001852CF" w:rsidRPr="001852CF" w:rsidRDefault="001852CF" w:rsidP="000224FA">
            <w:pPr>
              <w:ind w:left="0" w:hanging="2"/>
              <w:rPr>
                <w:rFonts w:ascii="Arial" w:hAnsi="Arial" w:cs="Arial"/>
                <w:sz w:val="22"/>
                <w:szCs w:val="22"/>
              </w:rPr>
            </w:pPr>
            <w:r w:rsidRPr="001852CF">
              <w:rPr>
                <w:rFonts w:ascii="Arial" w:hAnsi="Arial" w:cs="Arial"/>
                <w:sz w:val="22"/>
                <w:szCs w:val="22"/>
              </w:rPr>
              <w:t xml:space="preserve">Janneke Gerards, </w:t>
            </w:r>
            <w:r w:rsidRPr="001852CF">
              <w:rPr>
                <w:rFonts w:ascii="Arial" w:hAnsi="Arial" w:cs="Arial"/>
                <w:i/>
                <w:iCs/>
                <w:sz w:val="22"/>
                <w:szCs w:val="22"/>
              </w:rPr>
              <w:t>General Principles of the European Convention on Human Rights</w:t>
            </w:r>
            <w:r w:rsidRPr="001852CF">
              <w:rPr>
                <w:rFonts w:ascii="Arial" w:hAnsi="Arial" w:cs="Arial"/>
                <w:sz w:val="22"/>
                <w:szCs w:val="22"/>
              </w:rPr>
              <w:t xml:space="preserve"> (CUP 2019), </w:t>
            </w:r>
            <w:r w:rsidRPr="001852CF">
              <w:rPr>
                <w:rFonts w:ascii="Arial" w:hAnsi="Arial" w:cs="Arial"/>
                <w:b/>
                <w:bCs/>
                <w:sz w:val="22"/>
                <w:szCs w:val="22"/>
              </w:rPr>
              <w:t>available online:</w:t>
            </w:r>
            <w:r w:rsidRPr="001852CF">
              <w:rPr>
                <w:rFonts w:ascii="Arial" w:hAnsi="Arial" w:cs="Arial"/>
                <w:sz w:val="22"/>
                <w:szCs w:val="22"/>
              </w:rPr>
              <w:t xml:space="preserve"> </w:t>
            </w:r>
          </w:p>
          <w:p w14:paraId="68C97D30" w14:textId="376A7DF1" w:rsidR="001852CF" w:rsidRPr="001852CF" w:rsidRDefault="0022796A" w:rsidP="000224FA">
            <w:pPr>
              <w:ind w:left="0" w:hanging="2"/>
              <w:rPr>
                <w:rFonts w:ascii="Arial" w:hAnsi="Arial" w:cs="Arial"/>
                <w:sz w:val="22"/>
                <w:szCs w:val="22"/>
              </w:rPr>
            </w:pPr>
            <w:hyperlink r:id="rId11" w:history="1">
              <w:r w:rsidR="001852CF" w:rsidRPr="001852CF">
                <w:rPr>
                  <w:rStyle w:val="Hyperlink"/>
                  <w:rFonts w:ascii="Arial" w:hAnsi="Arial" w:cs="Arial"/>
                  <w:sz w:val="22"/>
                  <w:szCs w:val="22"/>
                </w:rPr>
                <w:t>https://search.library.nuigalway.ie/permalink/f/1pmb9lf/353GAL_ALMA_DS51140097840003626</w:t>
              </w:r>
            </w:hyperlink>
            <w:r w:rsidR="001852CF" w:rsidRPr="001852CF">
              <w:rPr>
                <w:rFonts w:ascii="Arial" w:hAnsi="Arial" w:cs="Arial"/>
                <w:sz w:val="22"/>
                <w:szCs w:val="22"/>
              </w:rPr>
              <w:t xml:space="preserve"> </w:t>
            </w:r>
          </w:p>
          <w:p w14:paraId="0B6E5D79" w14:textId="2404930C" w:rsidR="001852CF" w:rsidRDefault="001852CF" w:rsidP="000224FA">
            <w:pPr>
              <w:ind w:left="0" w:hanging="2"/>
              <w:rPr>
                <w:rFonts w:ascii="Arial" w:hAnsi="Arial" w:cs="Arial"/>
                <w:sz w:val="22"/>
                <w:szCs w:val="22"/>
              </w:rPr>
            </w:pPr>
          </w:p>
          <w:p w14:paraId="0BA36B38" w14:textId="33F105C8" w:rsidR="00C15FD4" w:rsidRDefault="00C15FD4" w:rsidP="0022796A">
            <w:pPr>
              <w:ind w:left="0" w:hanging="2"/>
              <w:jc w:val="both"/>
              <w:rPr>
                <w:rFonts w:ascii="Arial" w:hAnsi="Arial" w:cs="Arial"/>
                <w:sz w:val="22"/>
                <w:szCs w:val="22"/>
              </w:rPr>
            </w:pPr>
            <w:r w:rsidRPr="00C15FD4">
              <w:rPr>
                <w:rFonts w:ascii="Arial" w:hAnsi="Arial" w:cs="Arial"/>
                <w:sz w:val="22"/>
                <w:szCs w:val="22"/>
              </w:rPr>
              <w:t>Schmahl and Breuer</w:t>
            </w:r>
            <w:r>
              <w:rPr>
                <w:rFonts w:ascii="Arial" w:hAnsi="Arial" w:cs="Arial"/>
                <w:sz w:val="22"/>
                <w:szCs w:val="22"/>
              </w:rPr>
              <w:t xml:space="preserve">, </w:t>
            </w:r>
            <w:r w:rsidRPr="0022796A">
              <w:rPr>
                <w:rFonts w:ascii="Arial" w:hAnsi="Arial" w:cs="Arial"/>
                <w:i/>
                <w:iCs/>
                <w:sz w:val="22"/>
                <w:szCs w:val="22"/>
              </w:rPr>
              <w:t>The Council of Europe: Its Law and Policies</w:t>
            </w:r>
            <w:r>
              <w:rPr>
                <w:rFonts w:ascii="Arial" w:hAnsi="Arial" w:cs="Arial"/>
                <w:i/>
                <w:iCs/>
                <w:sz w:val="22"/>
                <w:szCs w:val="22"/>
              </w:rPr>
              <w:t xml:space="preserve">, </w:t>
            </w:r>
            <w:r w:rsidRPr="0022796A">
              <w:rPr>
                <w:rFonts w:ascii="Arial" w:hAnsi="Arial" w:cs="Arial"/>
                <w:sz w:val="22"/>
                <w:szCs w:val="22"/>
              </w:rPr>
              <w:t>(OUP 2016)</w:t>
            </w:r>
          </w:p>
          <w:p w14:paraId="19085283" w14:textId="77777777" w:rsidR="00C15FD4" w:rsidRPr="001852CF" w:rsidRDefault="00C15FD4" w:rsidP="000224FA">
            <w:pPr>
              <w:ind w:left="0" w:hanging="2"/>
              <w:rPr>
                <w:rFonts w:ascii="Arial" w:hAnsi="Arial" w:cs="Arial"/>
                <w:sz w:val="22"/>
                <w:szCs w:val="22"/>
              </w:rPr>
            </w:pPr>
          </w:p>
          <w:p w14:paraId="6C6F05A5" w14:textId="416C97DB" w:rsidR="001852CF" w:rsidRPr="001852CF" w:rsidRDefault="001852CF" w:rsidP="001852CF">
            <w:pPr>
              <w:ind w:left="0" w:hanging="2"/>
              <w:rPr>
                <w:rFonts w:ascii="Arial" w:hAnsi="Arial" w:cs="Arial"/>
                <w:bCs/>
                <w:sz w:val="22"/>
                <w:szCs w:val="22"/>
              </w:rPr>
            </w:pPr>
            <w:r w:rsidRPr="001852CF">
              <w:rPr>
                <w:rFonts w:ascii="Arial" w:hAnsi="Arial" w:cs="Arial"/>
                <w:bCs/>
                <w:sz w:val="22"/>
                <w:szCs w:val="22"/>
              </w:rPr>
              <w:t xml:space="preserve">Harris, O'Boyle &amp; Warbrick, (4th ed.) </w:t>
            </w:r>
            <w:r w:rsidRPr="001852CF">
              <w:rPr>
                <w:rFonts w:ascii="Arial" w:hAnsi="Arial" w:cs="Arial"/>
                <w:bCs/>
                <w:i/>
                <w:iCs/>
                <w:sz w:val="22"/>
                <w:szCs w:val="22"/>
              </w:rPr>
              <w:t>Law of the European Convention on Human Rights</w:t>
            </w:r>
            <w:r w:rsidRPr="001852CF">
              <w:rPr>
                <w:rFonts w:ascii="Arial" w:hAnsi="Arial" w:cs="Arial"/>
                <w:bCs/>
                <w:sz w:val="22"/>
                <w:szCs w:val="22"/>
              </w:rPr>
              <w:t xml:space="preserve"> (OUP 2018)</w:t>
            </w:r>
          </w:p>
          <w:p w14:paraId="7A386CF2" w14:textId="77777777" w:rsidR="001852CF" w:rsidRPr="001852CF" w:rsidRDefault="001852CF" w:rsidP="001852CF">
            <w:pPr>
              <w:ind w:left="0" w:hanging="2"/>
              <w:rPr>
                <w:rFonts w:ascii="Arial" w:hAnsi="Arial" w:cs="Arial"/>
                <w:bCs/>
                <w:sz w:val="22"/>
                <w:szCs w:val="22"/>
              </w:rPr>
            </w:pPr>
          </w:p>
          <w:p w14:paraId="61B8703B" w14:textId="5D7043B0" w:rsidR="001852CF" w:rsidRPr="001852CF" w:rsidRDefault="001852CF" w:rsidP="001852CF">
            <w:pPr>
              <w:ind w:left="0" w:hanging="2"/>
              <w:rPr>
                <w:rFonts w:ascii="Arial" w:hAnsi="Arial" w:cs="Arial"/>
                <w:bCs/>
                <w:sz w:val="22"/>
                <w:szCs w:val="22"/>
              </w:rPr>
            </w:pPr>
            <w:r w:rsidRPr="001852CF">
              <w:rPr>
                <w:rFonts w:ascii="Arial" w:hAnsi="Arial" w:cs="Arial"/>
                <w:bCs/>
                <w:sz w:val="22"/>
                <w:szCs w:val="22"/>
              </w:rPr>
              <w:t xml:space="preserve">Jonas Christoffersen, Mikael Rask Madsen, </w:t>
            </w:r>
            <w:r w:rsidRPr="001852CF">
              <w:rPr>
                <w:rFonts w:ascii="Arial" w:hAnsi="Arial" w:cs="Arial"/>
                <w:bCs/>
                <w:i/>
                <w:iCs/>
                <w:sz w:val="22"/>
                <w:szCs w:val="22"/>
              </w:rPr>
              <w:t>The European Court of Human Rights between Law and Politics</w:t>
            </w:r>
            <w:r w:rsidRPr="001852CF">
              <w:rPr>
                <w:rFonts w:ascii="Arial" w:hAnsi="Arial" w:cs="Arial"/>
                <w:bCs/>
                <w:sz w:val="22"/>
                <w:szCs w:val="22"/>
              </w:rPr>
              <w:t xml:space="preserve"> (OUP 2013)</w:t>
            </w:r>
          </w:p>
          <w:p w14:paraId="7BB66C0F" w14:textId="77777777" w:rsidR="001852CF" w:rsidRPr="001852CF" w:rsidRDefault="001852CF" w:rsidP="001852CF">
            <w:pPr>
              <w:ind w:left="0" w:hanging="2"/>
              <w:rPr>
                <w:rFonts w:ascii="Arial" w:hAnsi="Arial" w:cs="Arial"/>
                <w:bCs/>
                <w:sz w:val="22"/>
                <w:szCs w:val="22"/>
              </w:rPr>
            </w:pPr>
          </w:p>
          <w:p w14:paraId="205C797B" w14:textId="36E19C51" w:rsidR="001852CF" w:rsidRPr="001852CF" w:rsidRDefault="001852CF" w:rsidP="001852CF">
            <w:pPr>
              <w:ind w:left="0" w:hanging="2"/>
              <w:rPr>
                <w:rFonts w:ascii="Arial" w:hAnsi="Arial" w:cs="Arial"/>
                <w:bCs/>
                <w:sz w:val="22"/>
                <w:szCs w:val="22"/>
              </w:rPr>
            </w:pPr>
            <w:r w:rsidRPr="001852CF">
              <w:rPr>
                <w:rFonts w:ascii="Arial" w:hAnsi="Arial" w:cs="Arial"/>
                <w:bCs/>
                <w:sz w:val="22"/>
                <w:szCs w:val="22"/>
              </w:rPr>
              <w:t xml:space="preserve">Janis, Kay &amp; Bradley, </w:t>
            </w:r>
            <w:r w:rsidRPr="001852CF">
              <w:rPr>
                <w:rFonts w:ascii="Arial" w:hAnsi="Arial" w:cs="Arial"/>
                <w:bCs/>
                <w:i/>
                <w:iCs/>
                <w:sz w:val="22"/>
                <w:szCs w:val="22"/>
              </w:rPr>
              <w:t>European Human Rights Law: Text &amp; Materials</w:t>
            </w:r>
            <w:r w:rsidRPr="001852CF">
              <w:rPr>
                <w:rFonts w:ascii="Arial" w:hAnsi="Arial" w:cs="Arial"/>
                <w:bCs/>
                <w:sz w:val="22"/>
                <w:szCs w:val="22"/>
              </w:rPr>
              <w:t xml:space="preserve"> (3</w:t>
            </w:r>
            <w:r w:rsidRPr="001852CF">
              <w:rPr>
                <w:rFonts w:ascii="Arial" w:hAnsi="Arial" w:cs="Arial"/>
                <w:bCs/>
                <w:sz w:val="22"/>
                <w:szCs w:val="22"/>
                <w:vertAlign w:val="superscript"/>
              </w:rPr>
              <w:t>rd</w:t>
            </w:r>
            <w:r w:rsidRPr="001852CF">
              <w:rPr>
                <w:rFonts w:ascii="Arial" w:hAnsi="Arial" w:cs="Arial"/>
                <w:bCs/>
                <w:sz w:val="22"/>
                <w:szCs w:val="22"/>
              </w:rPr>
              <w:t xml:space="preserve"> Edition) (OUP 2008)</w:t>
            </w:r>
          </w:p>
          <w:p w14:paraId="16AD2B3E" w14:textId="77777777" w:rsidR="001852CF" w:rsidRPr="001852CF" w:rsidRDefault="001852CF" w:rsidP="001852CF">
            <w:pPr>
              <w:ind w:left="0" w:hanging="2"/>
              <w:rPr>
                <w:rFonts w:ascii="Arial" w:hAnsi="Arial" w:cs="Arial"/>
                <w:bCs/>
                <w:sz w:val="22"/>
                <w:szCs w:val="22"/>
              </w:rPr>
            </w:pPr>
            <w:r w:rsidRPr="001852CF">
              <w:rPr>
                <w:rFonts w:ascii="Arial" w:hAnsi="Arial" w:cs="Arial"/>
                <w:bCs/>
                <w:sz w:val="22"/>
                <w:szCs w:val="22"/>
              </w:rPr>
              <w:t xml:space="preserve"> </w:t>
            </w:r>
          </w:p>
          <w:p w14:paraId="0C60AEE9" w14:textId="77777777" w:rsidR="001852CF" w:rsidRPr="001852CF" w:rsidRDefault="001852CF" w:rsidP="001852CF">
            <w:pPr>
              <w:ind w:left="0" w:hanging="2"/>
              <w:rPr>
                <w:rFonts w:ascii="Arial" w:hAnsi="Arial" w:cs="Arial"/>
                <w:bCs/>
                <w:sz w:val="22"/>
                <w:szCs w:val="22"/>
              </w:rPr>
            </w:pPr>
            <w:r w:rsidRPr="001852CF">
              <w:rPr>
                <w:rFonts w:ascii="Arial" w:hAnsi="Arial" w:cs="Arial"/>
                <w:bCs/>
                <w:sz w:val="22"/>
                <w:szCs w:val="22"/>
              </w:rPr>
              <w:t xml:space="preserve">Ovey, Jacobs &amp; White, </w:t>
            </w:r>
            <w:r w:rsidRPr="001852CF">
              <w:rPr>
                <w:rFonts w:ascii="Arial" w:hAnsi="Arial" w:cs="Arial"/>
                <w:bCs/>
                <w:i/>
                <w:iCs/>
                <w:sz w:val="22"/>
                <w:szCs w:val="22"/>
              </w:rPr>
              <w:t>The European Convention on Human Rights</w:t>
            </w:r>
            <w:r w:rsidRPr="001852CF">
              <w:rPr>
                <w:rFonts w:ascii="Arial" w:hAnsi="Arial" w:cs="Arial"/>
                <w:bCs/>
                <w:sz w:val="22"/>
                <w:szCs w:val="22"/>
              </w:rPr>
              <w:t xml:space="preserve"> (6th Edition), (OUP, 2014)</w:t>
            </w:r>
          </w:p>
          <w:p w14:paraId="7422DBC3" w14:textId="77777777" w:rsidR="001852CF" w:rsidRPr="001852CF" w:rsidRDefault="001852CF" w:rsidP="001852CF">
            <w:pPr>
              <w:ind w:left="0" w:hanging="2"/>
              <w:rPr>
                <w:rFonts w:ascii="Arial" w:hAnsi="Arial" w:cs="Arial"/>
                <w:bCs/>
                <w:sz w:val="22"/>
                <w:szCs w:val="22"/>
              </w:rPr>
            </w:pPr>
          </w:p>
          <w:p w14:paraId="7855ADBD" w14:textId="32A6D748" w:rsidR="001852CF" w:rsidRPr="001852CF" w:rsidRDefault="001852CF" w:rsidP="001852CF">
            <w:pPr>
              <w:ind w:left="0" w:hanging="2"/>
              <w:rPr>
                <w:rFonts w:ascii="Arial" w:hAnsi="Arial" w:cs="Arial"/>
                <w:sz w:val="22"/>
                <w:szCs w:val="22"/>
              </w:rPr>
            </w:pPr>
            <w:r w:rsidRPr="001852CF">
              <w:rPr>
                <w:rFonts w:ascii="Arial" w:hAnsi="Arial" w:cs="Arial"/>
                <w:sz w:val="22"/>
                <w:szCs w:val="22"/>
              </w:rPr>
              <w:t xml:space="preserve">Merrills, </w:t>
            </w:r>
            <w:r w:rsidRPr="001852CF">
              <w:rPr>
                <w:rFonts w:ascii="Arial" w:hAnsi="Arial" w:cs="Arial"/>
                <w:i/>
                <w:iCs/>
                <w:sz w:val="22"/>
                <w:szCs w:val="22"/>
              </w:rPr>
              <w:t>The Development of International Law by the European Court of Human Rights</w:t>
            </w:r>
            <w:r w:rsidRPr="001852CF">
              <w:rPr>
                <w:rFonts w:ascii="Arial" w:hAnsi="Arial" w:cs="Arial"/>
                <w:sz w:val="22"/>
                <w:szCs w:val="22"/>
              </w:rPr>
              <w:t xml:space="preserve"> (Manchester University Press, 1993)</w:t>
            </w:r>
          </w:p>
          <w:p w14:paraId="09F72D11" w14:textId="77777777" w:rsidR="001852CF" w:rsidRPr="001852CF" w:rsidRDefault="001852CF" w:rsidP="001852CF">
            <w:pPr>
              <w:ind w:left="0" w:hanging="2"/>
              <w:rPr>
                <w:rFonts w:ascii="Arial" w:hAnsi="Arial" w:cs="Arial"/>
                <w:sz w:val="22"/>
                <w:szCs w:val="22"/>
              </w:rPr>
            </w:pPr>
          </w:p>
          <w:p w14:paraId="6A888CF6" w14:textId="02CCDDC3" w:rsidR="001852CF" w:rsidRPr="001852CF" w:rsidRDefault="001852CF" w:rsidP="001852CF">
            <w:pPr>
              <w:ind w:left="0" w:hanging="2"/>
              <w:rPr>
                <w:rFonts w:ascii="Arial" w:hAnsi="Arial" w:cs="Arial"/>
                <w:iCs/>
                <w:sz w:val="22"/>
                <w:szCs w:val="22"/>
                <w:lang w:val="en-US"/>
              </w:rPr>
            </w:pPr>
            <w:r w:rsidRPr="001852CF">
              <w:rPr>
                <w:rFonts w:ascii="Arial" w:hAnsi="Arial" w:cs="Arial"/>
                <w:iCs/>
                <w:sz w:val="22"/>
                <w:szCs w:val="22"/>
                <w:lang w:val="en-US"/>
              </w:rPr>
              <w:t xml:space="preserve">A. Mowbray, </w:t>
            </w:r>
            <w:r w:rsidRPr="001852CF">
              <w:rPr>
                <w:rFonts w:ascii="Arial" w:hAnsi="Arial" w:cs="Arial"/>
                <w:i/>
                <w:sz w:val="22"/>
                <w:szCs w:val="22"/>
                <w:lang w:val="en-US"/>
              </w:rPr>
              <w:t>Cases and Materials on the European Convention on Human Rights</w:t>
            </w:r>
            <w:r w:rsidRPr="001852CF">
              <w:rPr>
                <w:rFonts w:ascii="Arial" w:hAnsi="Arial" w:cs="Arial"/>
                <w:iCs/>
                <w:sz w:val="22"/>
                <w:szCs w:val="22"/>
                <w:lang w:val="en-US"/>
              </w:rPr>
              <w:t xml:space="preserve"> (O</w:t>
            </w:r>
            <w:r>
              <w:rPr>
                <w:rFonts w:ascii="Arial" w:hAnsi="Arial" w:cs="Arial"/>
                <w:iCs/>
                <w:sz w:val="22"/>
                <w:szCs w:val="22"/>
                <w:lang w:val="en-US"/>
              </w:rPr>
              <w:t>UP</w:t>
            </w:r>
            <w:r w:rsidRPr="001852CF">
              <w:rPr>
                <w:rFonts w:ascii="Arial" w:hAnsi="Arial" w:cs="Arial"/>
                <w:iCs/>
                <w:sz w:val="22"/>
                <w:szCs w:val="22"/>
                <w:lang w:val="en-US"/>
              </w:rPr>
              <w:t xml:space="preserve"> 2012)</w:t>
            </w:r>
          </w:p>
          <w:p w14:paraId="021E2F73" w14:textId="5B0F0566" w:rsidR="001852CF" w:rsidRPr="001852CF" w:rsidRDefault="001852CF" w:rsidP="001852CF">
            <w:pPr>
              <w:ind w:left="0" w:hanging="2"/>
              <w:rPr>
                <w:rFonts w:ascii="Arial" w:hAnsi="Arial" w:cs="Arial"/>
                <w:sz w:val="22"/>
                <w:szCs w:val="22"/>
              </w:rPr>
            </w:pPr>
          </w:p>
          <w:p w14:paraId="5E89EDA7" w14:textId="6608A226" w:rsidR="001852CF" w:rsidRDefault="001852CF" w:rsidP="001852CF">
            <w:pPr>
              <w:ind w:leftChars="0" w:left="0" w:firstLineChars="0" w:firstLine="0"/>
              <w:jc w:val="both"/>
              <w:rPr>
                <w:rFonts w:ascii="Arial" w:eastAsia="Arial" w:hAnsi="Arial" w:cs="Arial"/>
                <w:sz w:val="22"/>
                <w:szCs w:val="22"/>
              </w:rPr>
            </w:pPr>
            <w:r w:rsidRPr="001852CF">
              <w:rPr>
                <w:rFonts w:ascii="Arial" w:hAnsi="Arial" w:cs="Arial"/>
                <w:sz w:val="22"/>
                <w:szCs w:val="22"/>
              </w:rPr>
              <w:t xml:space="preserve">See also the </w:t>
            </w:r>
            <w:r w:rsidRPr="001852CF">
              <w:rPr>
                <w:rFonts w:ascii="Arial" w:eastAsia="Arial" w:hAnsi="Arial" w:cs="Arial"/>
                <w:sz w:val="22"/>
                <w:szCs w:val="22"/>
              </w:rPr>
              <w:t xml:space="preserve">Council of Europe’s human rights handbooks: </w:t>
            </w:r>
            <w:hyperlink r:id="rId12" w:history="1">
              <w:r w:rsidRPr="001852CF">
                <w:rPr>
                  <w:rStyle w:val="Hyperlink"/>
                  <w:rFonts w:ascii="Arial" w:eastAsia="Arial" w:hAnsi="Arial" w:cs="Arial"/>
                  <w:sz w:val="22"/>
                  <w:szCs w:val="22"/>
                </w:rPr>
                <w:t>https://www.coe.int/en/web/human-rights-rule-of-law/human-rights-handbooks</w:t>
              </w:r>
            </w:hyperlink>
            <w:r w:rsidRPr="001852CF">
              <w:rPr>
                <w:rFonts w:ascii="Arial" w:eastAsia="Arial" w:hAnsi="Arial" w:cs="Arial"/>
                <w:sz w:val="22"/>
                <w:szCs w:val="22"/>
              </w:rPr>
              <w:t xml:space="preserve"> </w:t>
            </w:r>
          </w:p>
          <w:p w14:paraId="744171A1" w14:textId="0DB127ED" w:rsidR="00CD0FF8" w:rsidRDefault="00CD0FF8" w:rsidP="001852CF">
            <w:pPr>
              <w:ind w:leftChars="0" w:left="0" w:firstLineChars="0" w:firstLine="0"/>
              <w:jc w:val="both"/>
              <w:rPr>
                <w:rFonts w:ascii="Arial" w:eastAsia="Arial" w:hAnsi="Arial" w:cs="Arial"/>
                <w:sz w:val="22"/>
                <w:szCs w:val="22"/>
              </w:rPr>
            </w:pPr>
          </w:p>
          <w:p w14:paraId="45940002" w14:textId="77777777" w:rsidR="00CD0FF8" w:rsidRPr="00CD0FF8" w:rsidRDefault="00CD0FF8" w:rsidP="00CD0FF8">
            <w:pPr>
              <w:ind w:left="0" w:hanging="2"/>
              <w:rPr>
                <w:rFonts w:ascii="Arial" w:hAnsi="Arial" w:cs="Arial"/>
                <w:b/>
                <w:bCs/>
                <w:sz w:val="22"/>
              </w:rPr>
            </w:pPr>
            <w:r w:rsidRPr="00CD0FF8">
              <w:rPr>
                <w:rFonts w:ascii="Arial" w:hAnsi="Arial" w:cs="Arial"/>
                <w:b/>
                <w:bCs/>
                <w:sz w:val="22"/>
              </w:rPr>
              <w:t xml:space="preserve">Useful Web Addresses: </w:t>
            </w:r>
          </w:p>
          <w:p w14:paraId="59D11C39" w14:textId="77777777" w:rsidR="00CD0FF8" w:rsidRPr="00CD0FF8" w:rsidRDefault="00CD0FF8" w:rsidP="00CD0FF8">
            <w:pPr>
              <w:ind w:left="0" w:hanging="2"/>
              <w:rPr>
                <w:rFonts w:ascii="Arial" w:hAnsi="Arial" w:cs="Arial"/>
                <w:b/>
                <w:bCs/>
                <w:sz w:val="22"/>
              </w:rPr>
            </w:pPr>
          </w:p>
          <w:p w14:paraId="4634AC32" w14:textId="77777777" w:rsidR="00CD0FF8" w:rsidRPr="00CD0FF8" w:rsidRDefault="00CD0FF8" w:rsidP="00CD0FF8">
            <w:pPr>
              <w:ind w:left="0" w:hanging="2"/>
              <w:rPr>
                <w:rFonts w:ascii="Arial" w:hAnsi="Arial" w:cs="Arial"/>
                <w:sz w:val="22"/>
              </w:rPr>
            </w:pPr>
            <w:r w:rsidRPr="00CD0FF8">
              <w:rPr>
                <w:rFonts w:ascii="Arial" w:hAnsi="Arial" w:cs="Arial"/>
                <w:sz w:val="22"/>
              </w:rPr>
              <w:lastRenderedPageBreak/>
              <w:t>European Court of Human Rights Home Page:</w:t>
            </w:r>
          </w:p>
          <w:p w14:paraId="6DBECCCF" w14:textId="76C88F77" w:rsidR="00CD0FF8" w:rsidRPr="00CD0FF8" w:rsidRDefault="0022796A" w:rsidP="00CD0FF8">
            <w:pPr>
              <w:ind w:left="0" w:hanging="2"/>
              <w:rPr>
                <w:rFonts w:ascii="Arial" w:hAnsi="Arial" w:cs="Arial"/>
                <w:i/>
                <w:iCs/>
                <w:sz w:val="22"/>
              </w:rPr>
            </w:pPr>
            <w:hyperlink r:id="rId13" w:history="1">
              <w:r w:rsidR="00CD0FF8" w:rsidRPr="00B13DB4">
                <w:rPr>
                  <w:rStyle w:val="Hyperlink"/>
                  <w:rFonts w:ascii="Arial" w:hAnsi="Arial" w:cs="Arial"/>
                  <w:i/>
                  <w:iCs/>
                  <w:sz w:val="22"/>
                </w:rPr>
                <w:t>http://www.echr.coe.int</w:t>
              </w:r>
            </w:hyperlink>
            <w:r w:rsidR="00CD0FF8">
              <w:rPr>
                <w:rFonts w:ascii="Arial" w:hAnsi="Arial" w:cs="Arial"/>
                <w:i/>
                <w:iCs/>
                <w:sz w:val="22"/>
              </w:rPr>
              <w:t xml:space="preserve"> </w:t>
            </w:r>
          </w:p>
          <w:p w14:paraId="4BC40873" w14:textId="08A69E4D" w:rsidR="00CD0FF8" w:rsidRPr="00CD0FF8" w:rsidRDefault="00CD0FF8" w:rsidP="00CD0FF8">
            <w:pPr>
              <w:ind w:left="0" w:hanging="2"/>
              <w:rPr>
                <w:rFonts w:ascii="Arial" w:hAnsi="Arial" w:cs="Arial"/>
                <w:sz w:val="22"/>
              </w:rPr>
            </w:pPr>
            <w:r w:rsidRPr="00CD0FF8">
              <w:rPr>
                <w:rFonts w:ascii="Arial" w:hAnsi="Arial" w:cs="Arial"/>
                <w:sz w:val="22"/>
              </w:rPr>
              <w:t>European Court of Human Rights HUDOC case search page:</w:t>
            </w:r>
            <w:r>
              <w:rPr>
                <w:rFonts w:ascii="Arial" w:hAnsi="Arial" w:cs="Arial"/>
                <w:sz w:val="22"/>
              </w:rPr>
              <w:t xml:space="preserve"> </w:t>
            </w:r>
            <w:hyperlink r:id="rId14" w:anchor="{&quot;documentcollectionid2&quot;:[&quot;GRANDCHAMBER&quot;,&quot;CHAMBER&quot;]}" w:history="1">
              <w:r w:rsidRPr="00B13DB4">
                <w:rPr>
                  <w:rStyle w:val="Hyperlink"/>
                  <w:rFonts w:ascii="Arial" w:hAnsi="Arial" w:cs="Arial"/>
                  <w:sz w:val="22"/>
                </w:rPr>
                <w:t>https://hudoc.echr.coe.int/eng#{"documentcollectionid2":["GRANDCHAMBER","CHAMBER"]}</w:t>
              </w:r>
            </w:hyperlink>
            <w:r>
              <w:rPr>
                <w:rFonts w:ascii="Arial" w:hAnsi="Arial" w:cs="Arial"/>
                <w:sz w:val="22"/>
              </w:rPr>
              <w:t xml:space="preserve"> </w:t>
            </w:r>
          </w:p>
          <w:p w14:paraId="54A47F51" w14:textId="7B13A458" w:rsidR="00CD0FF8" w:rsidRPr="00CD0FF8" w:rsidRDefault="00CD0FF8" w:rsidP="00CD0FF8">
            <w:pPr>
              <w:ind w:leftChars="0" w:left="0" w:firstLineChars="0" w:firstLine="0"/>
              <w:rPr>
                <w:rFonts w:ascii="Arial" w:hAnsi="Arial" w:cs="Arial"/>
                <w:sz w:val="22"/>
              </w:rPr>
            </w:pPr>
            <w:r w:rsidRPr="00CD0FF8">
              <w:rPr>
                <w:rFonts w:ascii="Arial" w:hAnsi="Arial" w:cs="Arial"/>
                <w:sz w:val="22"/>
              </w:rPr>
              <w:t xml:space="preserve"> </w:t>
            </w:r>
          </w:p>
          <w:p w14:paraId="60555B14" w14:textId="7B5F236D" w:rsidR="00CD0FF8" w:rsidRPr="00CD0FF8" w:rsidRDefault="00CD0FF8" w:rsidP="00CD0FF8">
            <w:pPr>
              <w:ind w:left="0" w:hanging="2"/>
              <w:rPr>
                <w:rFonts w:ascii="Arial" w:hAnsi="Arial" w:cs="Arial"/>
                <w:sz w:val="22"/>
              </w:rPr>
            </w:pPr>
            <w:r w:rsidRPr="00CD0FF8">
              <w:rPr>
                <w:rFonts w:ascii="Arial" w:hAnsi="Arial" w:cs="Arial"/>
                <w:sz w:val="22"/>
              </w:rPr>
              <w:t>Recent decisions by the European Court are available by accessing HUDOC.  Please note, the easiest way to do a text search through HUDOC is to list the respondent (state) and by the main article involved, and then to search by date or alphabetically. The system does not always respond if you list the title</w:t>
            </w:r>
            <w:r>
              <w:rPr>
                <w:rFonts w:ascii="Arial" w:hAnsi="Arial" w:cs="Arial"/>
                <w:sz w:val="22"/>
              </w:rPr>
              <w:t xml:space="preserve"> so make sure to t</w:t>
            </w:r>
            <w:r w:rsidRPr="00CD0FF8">
              <w:rPr>
                <w:rFonts w:ascii="Arial" w:hAnsi="Arial" w:cs="Arial"/>
                <w:sz w:val="22"/>
              </w:rPr>
              <w:t xml:space="preserve">ry a few ways.  </w:t>
            </w:r>
          </w:p>
          <w:p w14:paraId="77AAC138" w14:textId="77777777" w:rsidR="001852CF" w:rsidRDefault="001852CF" w:rsidP="001852CF">
            <w:pPr>
              <w:ind w:leftChars="0" w:left="0" w:firstLineChars="0" w:firstLine="0"/>
              <w:rPr>
                <w:rFonts w:ascii="Arial" w:hAnsi="Arial" w:cs="Arial"/>
                <w:sz w:val="22"/>
                <w:szCs w:val="22"/>
              </w:rPr>
            </w:pPr>
          </w:p>
          <w:p w14:paraId="5B8F332B" w14:textId="75F44312" w:rsidR="00E81727" w:rsidRDefault="002551A9" w:rsidP="001852CF">
            <w:pPr>
              <w:ind w:leftChars="0" w:left="0" w:firstLineChars="0" w:firstLine="0"/>
              <w:rPr>
                <w:rFonts w:ascii="Arial" w:hAnsi="Arial" w:cs="Arial"/>
                <w:sz w:val="22"/>
                <w:szCs w:val="22"/>
              </w:rPr>
            </w:pPr>
            <w:r>
              <w:rPr>
                <w:rFonts w:ascii="Arial" w:hAnsi="Arial" w:cs="Arial"/>
                <w:sz w:val="22"/>
                <w:szCs w:val="22"/>
              </w:rPr>
              <w:t xml:space="preserve">Council of Europe Execution of Judgments Database (HUDOC EXEC): </w:t>
            </w:r>
            <w:hyperlink r:id="rId15" w:history="1">
              <w:r w:rsidRPr="00C278F6">
                <w:rPr>
                  <w:rStyle w:val="Hyperlink"/>
                  <w:rFonts w:ascii="Arial" w:hAnsi="Arial" w:cs="Arial"/>
                  <w:sz w:val="22"/>
                  <w:szCs w:val="22"/>
                </w:rPr>
                <w:t>https://hudoc.exec.coe.int/</w:t>
              </w:r>
            </w:hyperlink>
          </w:p>
          <w:p w14:paraId="4E222B95" w14:textId="3652D289" w:rsidR="002551A9" w:rsidRDefault="002551A9" w:rsidP="001852CF">
            <w:pPr>
              <w:ind w:leftChars="0" w:left="0" w:firstLineChars="0" w:firstLine="0"/>
              <w:rPr>
                <w:rFonts w:ascii="Arial" w:hAnsi="Arial" w:cs="Arial"/>
                <w:sz w:val="22"/>
                <w:szCs w:val="22"/>
              </w:rPr>
            </w:pPr>
            <w:r>
              <w:rPr>
                <w:rFonts w:ascii="Arial" w:hAnsi="Arial" w:cs="Arial"/>
                <w:sz w:val="22"/>
                <w:szCs w:val="22"/>
              </w:rPr>
              <w:t xml:space="preserve">HUDOC EXEC </w:t>
            </w:r>
            <w:r w:rsidR="00DA34EB">
              <w:rPr>
                <w:rFonts w:ascii="Arial" w:hAnsi="Arial" w:cs="Arial"/>
                <w:sz w:val="22"/>
                <w:szCs w:val="22"/>
              </w:rPr>
              <w:t>contains the most up to date status of implementation of judgments handed down by the European Court of Human Rights. It is entirely separate from the HUDOC case database mentioned above, and should not be confused.</w:t>
            </w:r>
          </w:p>
          <w:p w14:paraId="380CFBFB" w14:textId="6A130B70" w:rsidR="002551A9" w:rsidRPr="001852CF" w:rsidRDefault="002551A9" w:rsidP="001852CF">
            <w:pPr>
              <w:ind w:leftChars="0" w:left="0" w:firstLineChars="0" w:firstLine="0"/>
              <w:rPr>
                <w:rFonts w:ascii="Arial" w:hAnsi="Arial" w:cs="Arial"/>
                <w:sz w:val="22"/>
                <w:szCs w:val="22"/>
              </w:rPr>
            </w:pPr>
          </w:p>
        </w:tc>
      </w:tr>
      <w:tr w:rsidR="001852CF" w:rsidRPr="001852CF" w14:paraId="7BB5A2B2" w14:textId="77777777" w:rsidTr="001852CF">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603D0E" w14:textId="77777777" w:rsidR="00E81727" w:rsidRDefault="00E81727" w:rsidP="000224FA">
            <w:pPr>
              <w:tabs>
                <w:tab w:val="left" w:pos="-720"/>
              </w:tabs>
              <w:ind w:left="0" w:right="84" w:hanging="2"/>
              <w:jc w:val="center"/>
              <w:rPr>
                <w:rFonts w:ascii="Arial" w:eastAsia="Arial" w:hAnsi="Arial" w:cs="Arial"/>
                <w:b/>
                <w:sz w:val="22"/>
                <w:szCs w:val="22"/>
              </w:rPr>
            </w:pPr>
          </w:p>
          <w:p w14:paraId="53A76737" w14:textId="099BF705" w:rsidR="001852CF" w:rsidRPr="001852CF" w:rsidRDefault="001852CF" w:rsidP="000224FA">
            <w:pPr>
              <w:tabs>
                <w:tab w:val="left" w:pos="-720"/>
              </w:tabs>
              <w:ind w:left="0" w:right="84" w:hanging="2"/>
              <w:jc w:val="center"/>
              <w:rPr>
                <w:rFonts w:ascii="Arial" w:eastAsia="Arial" w:hAnsi="Arial" w:cs="Arial"/>
                <w:sz w:val="22"/>
                <w:szCs w:val="22"/>
              </w:rPr>
            </w:pPr>
            <w:r w:rsidRPr="001852CF">
              <w:rPr>
                <w:rFonts w:ascii="Arial" w:eastAsia="Arial" w:hAnsi="Arial" w:cs="Arial"/>
                <w:b/>
                <w:sz w:val="22"/>
                <w:szCs w:val="22"/>
              </w:rPr>
              <w:t>Assessment</w:t>
            </w:r>
          </w:p>
        </w:tc>
        <w:tc>
          <w:tcPr>
            <w:tcW w:w="7229" w:type="dxa"/>
            <w:gridSpan w:val="4"/>
            <w:tcBorders>
              <w:top w:val="single" w:sz="4" w:space="0" w:color="000000"/>
              <w:left w:val="single" w:sz="4" w:space="0" w:color="000000"/>
              <w:bottom w:val="single" w:sz="4" w:space="0" w:color="000000"/>
              <w:right w:val="single" w:sz="4" w:space="0" w:color="000000"/>
            </w:tcBorders>
          </w:tcPr>
          <w:p w14:paraId="582F9DCB" w14:textId="77777777" w:rsidR="001852CF" w:rsidRPr="001852CF" w:rsidRDefault="001852CF" w:rsidP="000224FA">
            <w:pPr>
              <w:spacing w:line="276" w:lineRule="auto"/>
              <w:ind w:leftChars="0" w:left="0" w:firstLineChars="0" w:firstLine="0"/>
              <w:rPr>
                <w:rFonts w:ascii="Arial" w:hAnsi="Arial" w:cs="Arial"/>
                <w:sz w:val="22"/>
                <w:szCs w:val="22"/>
              </w:rPr>
            </w:pPr>
          </w:p>
          <w:p w14:paraId="0147A8DE" w14:textId="77777777" w:rsidR="0068052C" w:rsidRDefault="001852CF" w:rsidP="00934A22">
            <w:pPr>
              <w:spacing w:line="276" w:lineRule="auto"/>
              <w:ind w:leftChars="0" w:left="0" w:firstLineChars="0" w:firstLine="0"/>
              <w:rPr>
                <w:rFonts w:ascii="Arial" w:hAnsi="Arial" w:cs="Arial"/>
                <w:sz w:val="22"/>
                <w:szCs w:val="22"/>
              </w:rPr>
            </w:pPr>
            <w:r w:rsidRPr="001852CF">
              <w:rPr>
                <w:rFonts w:ascii="Arial" w:hAnsi="Arial" w:cs="Arial"/>
                <w:sz w:val="22"/>
                <w:szCs w:val="22"/>
              </w:rPr>
              <w:t xml:space="preserve">This module is assessed by way of </w:t>
            </w:r>
            <w:r w:rsidRPr="00CD0FF8">
              <w:rPr>
                <w:rFonts w:ascii="Arial" w:hAnsi="Arial" w:cs="Arial"/>
                <w:b/>
                <w:bCs/>
                <w:sz w:val="22"/>
                <w:szCs w:val="22"/>
              </w:rPr>
              <w:t>a 5,000 word essay</w:t>
            </w:r>
            <w:r w:rsidRPr="001852CF">
              <w:rPr>
                <w:rFonts w:ascii="Arial" w:hAnsi="Arial" w:cs="Arial"/>
                <w:sz w:val="22"/>
                <w:szCs w:val="22"/>
              </w:rPr>
              <w:t xml:space="preserve"> (</w:t>
            </w:r>
            <w:r w:rsidR="0068052C">
              <w:rPr>
                <w:rFonts w:ascii="Arial" w:hAnsi="Arial" w:cs="Arial"/>
                <w:sz w:val="22"/>
                <w:szCs w:val="22"/>
              </w:rPr>
              <w:t>excluding</w:t>
            </w:r>
            <w:r w:rsidRPr="001852CF">
              <w:rPr>
                <w:rFonts w:ascii="Arial" w:hAnsi="Arial" w:cs="Arial"/>
                <w:sz w:val="22"/>
                <w:szCs w:val="22"/>
              </w:rPr>
              <w:t xml:space="preserve"> footnotes, excluding bibliography).</w:t>
            </w:r>
          </w:p>
          <w:p w14:paraId="2D158F14" w14:textId="77777777" w:rsidR="0068052C" w:rsidRDefault="0068052C" w:rsidP="00934A22">
            <w:pPr>
              <w:spacing w:line="276" w:lineRule="auto"/>
              <w:ind w:leftChars="0" w:left="0" w:firstLineChars="0" w:firstLine="0"/>
              <w:rPr>
                <w:rFonts w:ascii="Arial" w:hAnsi="Arial" w:cs="Arial"/>
                <w:sz w:val="22"/>
                <w:szCs w:val="22"/>
              </w:rPr>
            </w:pPr>
            <w:r>
              <w:rPr>
                <w:rFonts w:ascii="Arial" w:hAnsi="Arial" w:cs="Arial"/>
                <w:sz w:val="22"/>
                <w:szCs w:val="22"/>
              </w:rPr>
              <w:t>Students will choose their own title subject to lecturer approval based on the core tenets of the module and learning outcomes.</w:t>
            </w:r>
          </w:p>
          <w:p w14:paraId="62A8C1DA" w14:textId="77777777" w:rsidR="001852CF" w:rsidRDefault="001852CF" w:rsidP="00934A22">
            <w:pPr>
              <w:spacing w:line="276" w:lineRule="auto"/>
              <w:ind w:leftChars="0" w:left="0" w:firstLineChars="0" w:firstLine="0"/>
              <w:rPr>
                <w:rFonts w:ascii="Arial" w:hAnsi="Arial" w:cs="Arial"/>
                <w:sz w:val="22"/>
                <w:szCs w:val="22"/>
              </w:rPr>
            </w:pPr>
            <w:r w:rsidRPr="001852CF">
              <w:rPr>
                <w:rFonts w:ascii="Arial" w:hAnsi="Arial" w:cs="Arial"/>
                <w:sz w:val="22"/>
                <w:szCs w:val="22"/>
              </w:rPr>
              <w:t xml:space="preserve">The essay submission date and instructions are set out in the ‘Guidelines for LLM students’. </w:t>
            </w:r>
          </w:p>
          <w:p w14:paraId="18CB4585" w14:textId="77777777" w:rsidR="00C20AF3" w:rsidRDefault="00C20AF3" w:rsidP="00934A22">
            <w:pPr>
              <w:spacing w:line="276" w:lineRule="auto"/>
              <w:ind w:leftChars="0" w:left="0" w:firstLineChars="0" w:firstLine="0"/>
              <w:rPr>
                <w:rFonts w:ascii="Arial" w:hAnsi="Arial" w:cs="Arial"/>
                <w:sz w:val="22"/>
                <w:szCs w:val="22"/>
              </w:rPr>
            </w:pPr>
            <w:r>
              <w:rPr>
                <w:rFonts w:ascii="Arial" w:hAnsi="Arial" w:cs="Arial"/>
                <w:sz w:val="22"/>
                <w:szCs w:val="22"/>
              </w:rPr>
              <w:t>Assessment Timeline:</w:t>
            </w:r>
          </w:p>
          <w:p w14:paraId="55B9F708" w14:textId="3E26A88F" w:rsidR="00C20AF3" w:rsidRPr="0006330C" w:rsidRDefault="00C20AF3" w:rsidP="00934A22">
            <w:pPr>
              <w:spacing w:line="276" w:lineRule="auto"/>
              <w:ind w:leftChars="0" w:left="0" w:firstLineChars="0" w:firstLine="0"/>
              <w:rPr>
                <w:rFonts w:ascii="Arial" w:hAnsi="Arial" w:cs="Arial"/>
                <w:b/>
                <w:bCs/>
                <w:sz w:val="22"/>
                <w:szCs w:val="22"/>
              </w:rPr>
            </w:pPr>
            <w:r w:rsidRPr="0006330C">
              <w:rPr>
                <w:rFonts w:ascii="Arial" w:hAnsi="Arial" w:cs="Arial"/>
                <w:b/>
                <w:bCs/>
                <w:sz w:val="22"/>
                <w:szCs w:val="22"/>
              </w:rPr>
              <w:t xml:space="preserve">Essay Proposal due </w:t>
            </w:r>
            <w:r w:rsidR="0006330C" w:rsidRPr="0006330C">
              <w:rPr>
                <w:rFonts w:ascii="Arial" w:hAnsi="Arial" w:cs="Arial"/>
                <w:b/>
                <w:bCs/>
                <w:sz w:val="22"/>
                <w:szCs w:val="22"/>
              </w:rPr>
              <w:t>between 9</w:t>
            </w:r>
            <w:r w:rsidR="0006330C" w:rsidRPr="0006330C">
              <w:rPr>
                <w:rFonts w:ascii="Arial" w:hAnsi="Arial" w:cs="Arial"/>
                <w:b/>
                <w:bCs/>
                <w:sz w:val="22"/>
                <w:szCs w:val="22"/>
                <w:vertAlign w:val="superscript"/>
              </w:rPr>
              <w:t>th</w:t>
            </w:r>
            <w:r w:rsidR="0006330C" w:rsidRPr="0006330C">
              <w:rPr>
                <w:rFonts w:ascii="Arial" w:hAnsi="Arial" w:cs="Arial"/>
                <w:b/>
                <w:bCs/>
                <w:sz w:val="22"/>
                <w:szCs w:val="22"/>
              </w:rPr>
              <w:t xml:space="preserve"> – 18</w:t>
            </w:r>
            <w:r w:rsidR="0006330C" w:rsidRPr="0006330C">
              <w:rPr>
                <w:rFonts w:ascii="Arial" w:hAnsi="Arial" w:cs="Arial"/>
                <w:b/>
                <w:bCs/>
                <w:sz w:val="22"/>
                <w:szCs w:val="22"/>
                <w:vertAlign w:val="superscript"/>
              </w:rPr>
              <w:t>th</w:t>
            </w:r>
            <w:r w:rsidR="0006330C" w:rsidRPr="0006330C">
              <w:rPr>
                <w:rFonts w:ascii="Arial" w:hAnsi="Arial" w:cs="Arial"/>
                <w:b/>
                <w:bCs/>
                <w:sz w:val="22"/>
                <w:szCs w:val="22"/>
              </w:rPr>
              <w:t xml:space="preserve"> February to Lecturer via Email</w:t>
            </w:r>
          </w:p>
          <w:p w14:paraId="6E6A3665" w14:textId="5757EB9E" w:rsidR="00C20AF3" w:rsidRPr="0006330C" w:rsidRDefault="00C20AF3" w:rsidP="00934A22">
            <w:pPr>
              <w:spacing w:line="276" w:lineRule="auto"/>
              <w:ind w:leftChars="0" w:left="0" w:firstLineChars="0" w:firstLine="0"/>
              <w:rPr>
                <w:rFonts w:ascii="Arial" w:hAnsi="Arial" w:cs="Arial"/>
                <w:b/>
                <w:bCs/>
                <w:sz w:val="22"/>
                <w:szCs w:val="22"/>
              </w:rPr>
            </w:pPr>
            <w:r w:rsidRPr="0006330C">
              <w:rPr>
                <w:rFonts w:ascii="Arial" w:hAnsi="Arial" w:cs="Arial"/>
                <w:b/>
                <w:bCs/>
                <w:sz w:val="22"/>
                <w:szCs w:val="22"/>
              </w:rPr>
              <w:t>Essay due</w:t>
            </w:r>
            <w:r w:rsidR="0006330C" w:rsidRPr="0006330C">
              <w:rPr>
                <w:rFonts w:ascii="Arial" w:hAnsi="Arial" w:cs="Arial"/>
                <w:b/>
                <w:bCs/>
                <w:sz w:val="22"/>
                <w:szCs w:val="22"/>
              </w:rPr>
              <w:t xml:space="preserve"> 28</w:t>
            </w:r>
            <w:r w:rsidR="0006330C" w:rsidRPr="0006330C">
              <w:rPr>
                <w:rFonts w:ascii="Arial" w:hAnsi="Arial" w:cs="Arial"/>
                <w:b/>
                <w:bCs/>
                <w:sz w:val="22"/>
                <w:szCs w:val="22"/>
                <w:vertAlign w:val="superscript"/>
              </w:rPr>
              <w:t>th</w:t>
            </w:r>
            <w:r w:rsidR="0006330C" w:rsidRPr="0006330C">
              <w:rPr>
                <w:rFonts w:ascii="Arial" w:hAnsi="Arial" w:cs="Arial"/>
                <w:b/>
                <w:bCs/>
                <w:sz w:val="22"/>
                <w:szCs w:val="22"/>
              </w:rPr>
              <w:t xml:space="preserve"> March 2024 @ 23:59</w:t>
            </w:r>
            <w:r w:rsidR="0006330C">
              <w:rPr>
                <w:rFonts w:ascii="Arial" w:hAnsi="Arial" w:cs="Arial"/>
                <w:b/>
                <w:bCs/>
                <w:sz w:val="22"/>
                <w:szCs w:val="22"/>
              </w:rPr>
              <w:t xml:space="preserve"> via CANVAS/Turnitin</w:t>
            </w:r>
          </w:p>
        </w:tc>
      </w:tr>
    </w:tbl>
    <w:p w14:paraId="022F76FC" w14:textId="77777777" w:rsidR="001852CF" w:rsidRPr="001852CF" w:rsidRDefault="001852CF" w:rsidP="001852CF">
      <w:pPr>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p w14:paraId="15BAD89C" w14:textId="6E063EC2" w:rsidR="001A3FCC" w:rsidRDefault="001852CF">
      <w:pPr>
        <w:ind w:left="0" w:hanging="2"/>
        <w:rPr>
          <w:rFonts w:ascii="Arial" w:eastAsia="Arial" w:hAnsi="Arial" w:cs="Arial"/>
          <w:b/>
          <w:bCs/>
          <w:color w:val="000000"/>
          <w:sz w:val="22"/>
          <w:szCs w:val="22"/>
          <w:u w:val="single"/>
        </w:rPr>
      </w:pPr>
      <w:r>
        <w:rPr>
          <w:rFonts w:ascii="Arial" w:eastAsia="Arial" w:hAnsi="Arial" w:cs="Arial"/>
          <w:b/>
          <w:bCs/>
          <w:color w:val="000000"/>
          <w:sz w:val="22"/>
          <w:szCs w:val="22"/>
          <w:u w:val="single"/>
        </w:rPr>
        <w:t>Seminar outline</w:t>
      </w:r>
    </w:p>
    <w:p w14:paraId="00A29C0E" w14:textId="7949770F" w:rsidR="001852CF" w:rsidRDefault="001852CF">
      <w:pPr>
        <w:ind w:left="0" w:hanging="2"/>
        <w:rPr>
          <w:rFonts w:ascii="Arial" w:eastAsia="Arial" w:hAnsi="Arial" w:cs="Arial"/>
          <w:b/>
          <w:bCs/>
          <w:color w:val="000000"/>
          <w:sz w:val="22"/>
          <w:szCs w:val="22"/>
          <w:u w:val="single"/>
        </w:rPr>
      </w:pPr>
    </w:p>
    <w:tbl>
      <w:tblPr>
        <w:tblStyle w:val="TableGrid"/>
        <w:tblW w:w="0" w:type="auto"/>
        <w:tblLook w:val="04A0" w:firstRow="1" w:lastRow="0" w:firstColumn="1" w:lastColumn="0" w:noHBand="0" w:noVBand="1"/>
      </w:tblPr>
      <w:tblGrid>
        <w:gridCol w:w="779"/>
        <w:gridCol w:w="1342"/>
        <w:gridCol w:w="5865"/>
        <w:gridCol w:w="1024"/>
      </w:tblGrid>
      <w:tr w:rsidR="0068052C" w14:paraId="1F2A8348" w14:textId="77777777" w:rsidTr="00C20AF3">
        <w:tc>
          <w:tcPr>
            <w:tcW w:w="779" w:type="dxa"/>
          </w:tcPr>
          <w:p w14:paraId="3CF2EC41" w14:textId="204E4889"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Week No.</w:t>
            </w:r>
          </w:p>
        </w:tc>
        <w:tc>
          <w:tcPr>
            <w:tcW w:w="1343" w:type="dxa"/>
          </w:tcPr>
          <w:p w14:paraId="4E5E3E2C" w14:textId="1C8F1489"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Date</w:t>
            </w:r>
          </w:p>
        </w:tc>
        <w:tc>
          <w:tcPr>
            <w:tcW w:w="5953" w:type="dxa"/>
          </w:tcPr>
          <w:p w14:paraId="1083FF8B" w14:textId="7B3B9ABA"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Topic</w:t>
            </w:r>
          </w:p>
        </w:tc>
        <w:tc>
          <w:tcPr>
            <w:tcW w:w="935" w:type="dxa"/>
          </w:tcPr>
          <w:p w14:paraId="32EF3E01" w14:textId="1285A631"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Lecturer</w:t>
            </w:r>
          </w:p>
        </w:tc>
      </w:tr>
      <w:tr w:rsidR="0068052C" w14:paraId="560C31CB" w14:textId="77777777" w:rsidTr="00C20AF3">
        <w:tc>
          <w:tcPr>
            <w:tcW w:w="779" w:type="dxa"/>
          </w:tcPr>
          <w:p w14:paraId="3CFB2F9B" w14:textId="2C456EA2"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1</w:t>
            </w:r>
          </w:p>
        </w:tc>
        <w:tc>
          <w:tcPr>
            <w:tcW w:w="1343" w:type="dxa"/>
          </w:tcPr>
          <w:p w14:paraId="0B5E2DF8" w14:textId="5393AB75"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12/01/2024</w:t>
            </w:r>
          </w:p>
        </w:tc>
        <w:tc>
          <w:tcPr>
            <w:tcW w:w="5953" w:type="dxa"/>
          </w:tcPr>
          <w:p w14:paraId="371642B5" w14:textId="5C898AB4" w:rsidR="0068052C" w:rsidRDefault="00DA34EB" w:rsidP="001852CF">
            <w:pPr>
              <w:ind w:leftChars="0" w:left="0" w:firstLineChars="0" w:firstLine="0"/>
              <w:rPr>
                <w:rFonts w:ascii="Arial" w:eastAsia="Arial" w:hAnsi="Arial" w:cs="Arial"/>
                <w:sz w:val="22"/>
                <w:szCs w:val="22"/>
              </w:rPr>
            </w:pPr>
            <w:r>
              <w:rPr>
                <w:rFonts w:ascii="Arial" w:eastAsia="Arial" w:hAnsi="Arial" w:cs="Arial"/>
                <w:sz w:val="22"/>
                <w:szCs w:val="22"/>
              </w:rPr>
              <w:t>Introduction to the Council of Europe System and the European Convention on Human Rights</w:t>
            </w:r>
          </w:p>
        </w:tc>
        <w:tc>
          <w:tcPr>
            <w:tcW w:w="935" w:type="dxa"/>
          </w:tcPr>
          <w:p w14:paraId="6C09FBC2" w14:textId="76AD6BDD"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AF</w:t>
            </w:r>
          </w:p>
        </w:tc>
      </w:tr>
      <w:tr w:rsidR="0068052C" w14:paraId="6B25FA4B" w14:textId="77777777" w:rsidTr="00C20AF3">
        <w:tc>
          <w:tcPr>
            <w:tcW w:w="779" w:type="dxa"/>
          </w:tcPr>
          <w:p w14:paraId="2CDF1D60" w14:textId="7EB2059A"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2</w:t>
            </w:r>
          </w:p>
        </w:tc>
        <w:tc>
          <w:tcPr>
            <w:tcW w:w="1343" w:type="dxa"/>
          </w:tcPr>
          <w:p w14:paraId="0676C38C" w14:textId="426E6C20"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19/01/2024</w:t>
            </w:r>
          </w:p>
        </w:tc>
        <w:tc>
          <w:tcPr>
            <w:tcW w:w="5953" w:type="dxa"/>
          </w:tcPr>
          <w:p w14:paraId="153872E8" w14:textId="331F2B58" w:rsidR="0068052C" w:rsidRDefault="00DA34EB" w:rsidP="001852CF">
            <w:pPr>
              <w:ind w:leftChars="0" w:left="0" w:firstLineChars="0" w:firstLine="0"/>
              <w:rPr>
                <w:rFonts w:ascii="Arial" w:eastAsia="Arial" w:hAnsi="Arial" w:cs="Arial"/>
                <w:sz w:val="22"/>
                <w:szCs w:val="22"/>
              </w:rPr>
            </w:pPr>
            <w:r>
              <w:rPr>
                <w:rFonts w:ascii="Arial" w:eastAsia="Arial" w:hAnsi="Arial" w:cs="Arial"/>
                <w:sz w:val="22"/>
                <w:szCs w:val="22"/>
              </w:rPr>
              <w:t xml:space="preserve">Article 1: Jurisdiction, Conflict and Contestation under the ECHR </w:t>
            </w:r>
          </w:p>
        </w:tc>
        <w:tc>
          <w:tcPr>
            <w:tcW w:w="935" w:type="dxa"/>
          </w:tcPr>
          <w:p w14:paraId="319CE5BB" w14:textId="5CF2A7F3"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AF</w:t>
            </w:r>
          </w:p>
        </w:tc>
      </w:tr>
      <w:tr w:rsidR="0068052C" w14:paraId="5F411CC8" w14:textId="77777777" w:rsidTr="00C20AF3">
        <w:tc>
          <w:tcPr>
            <w:tcW w:w="779" w:type="dxa"/>
          </w:tcPr>
          <w:p w14:paraId="2AFFF467" w14:textId="0E8DF376"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3</w:t>
            </w:r>
          </w:p>
        </w:tc>
        <w:tc>
          <w:tcPr>
            <w:tcW w:w="1343" w:type="dxa"/>
          </w:tcPr>
          <w:p w14:paraId="384FCF49" w14:textId="1121AE72"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26/01/2024</w:t>
            </w:r>
          </w:p>
        </w:tc>
        <w:tc>
          <w:tcPr>
            <w:tcW w:w="5953" w:type="dxa"/>
          </w:tcPr>
          <w:p w14:paraId="68D00260" w14:textId="2D9F528B" w:rsidR="0068052C" w:rsidRDefault="00E9789A" w:rsidP="001852CF">
            <w:pPr>
              <w:ind w:leftChars="0" w:left="0" w:firstLineChars="0" w:firstLine="0"/>
              <w:rPr>
                <w:rFonts w:ascii="Arial" w:eastAsia="Arial" w:hAnsi="Arial" w:cs="Arial"/>
                <w:sz w:val="22"/>
                <w:szCs w:val="22"/>
              </w:rPr>
            </w:pPr>
            <w:r>
              <w:rPr>
                <w:rFonts w:ascii="Arial" w:eastAsia="Arial" w:hAnsi="Arial" w:cs="Arial"/>
                <w:sz w:val="22"/>
                <w:szCs w:val="22"/>
              </w:rPr>
              <w:t>The Right to Life: Focusing on Art.2 of the ECHR</w:t>
            </w:r>
          </w:p>
        </w:tc>
        <w:tc>
          <w:tcPr>
            <w:tcW w:w="935" w:type="dxa"/>
          </w:tcPr>
          <w:p w14:paraId="0EF81B6F" w14:textId="1452D51E"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GM</w:t>
            </w:r>
          </w:p>
        </w:tc>
      </w:tr>
      <w:tr w:rsidR="0068052C" w14:paraId="31499BCD" w14:textId="77777777" w:rsidTr="00C20AF3">
        <w:tc>
          <w:tcPr>
            <w:tcW w:w="779" w:type="dxa"/>
          </w:tcPr>
          <w:p w14:paraId="5FFA0BFB" w14:textId="76C1BBEC"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4</w:t>
            </w:r>
          </w:p>
        </w:tc>
        <w:tc>
          <w:tcPr>
            <w:tcW w:w="1343" w:type="dxa"/>
          </w:tcPr>
          <w:p w14:paraId="16AA8888" w14:textId="74168CA9"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02/02/2024</w:t>
            </w:r>
          </w:p>
        </w:tc>
        <w:tc>
          <w:tcPr>
            <w:tcW w:w="5953" w:type="dxa"/>
          </w:tcPr>
          <w:p w14:paraId="274495E9" w14:textId="596F84DC" w:rsidR="0068052C" w:rsidRDefault="00E9789A" w:rsidP="001852CF">
            <w:pPr>
              <w:ind w:leftChars="0" w:left="0" w:firstLineChars="0" w:firstLine="0"/>
              <w:rPr>
                <w:rFonts w:ascii="Arial" w:eastAsia="Arial" w:hAnsi="Arial" w:cs="Arial"/>
                <w:sz w:val="22"/>
                <w:szCs w:val="22"/>
              </w:rPr>
            </w:pPr>
            <w:r>
              <w:rPr>
                <w:rFonts w:ascii="Arial" w:eastAsia="Arial" w:hAnsi="Arial" w:cs="Arial"/>
                <w:sz w:val="22"/>
                <w:szCs w:val="22"/>
              </w:rPr>
              <w:t>Prohibition of Torture: Focusing on Art.3 of the ECHR</w:t>
            </w:r>
          </w:p>
        </w:tc>
        <w:tc>
          <w:tcPr>
            <w:tcW w:w="935" w:type="dxa"/>
          </w:tcPr>
          <w:p w14:paraId="0D37D095" w14:textId="07C27C83"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GM</w:t>
            </w:r>
          </w:p>
        </w:tc>
      </w:tr>
      <w:tr w:rsidR="0068052C" w14:paraId="34D23027" w14:textId="77777777" w:rsidTr="00C20AF3">
        <w:tc>
          <w:tcPr>
            <w:tcW w:w="779" w:type="dxa"/>
          </w:tcPr>
          <w:p w14:paraId="6FEADFBC" w14:textId="01534692"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5</w:t>
            </w:r>
          </w:p>
        </w:tc>
        <w:tc>
          <w:tcPr>
            <w:tcW w:w="1343" w:type="dxa"/>
          </w:tcPr>
          <w:p w14:paraId="20962E74" w14:textId="4939633B"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09/02/2024</w:t>
            </w:r>
          </w:p>
        </w:tc>
        <w:tc>
          <w:tcPr>
            <w:tcW w:w="5953" w:type="dxa"/>
          </w:tcPr>
          <w:p w14:paraId="3C80D50F" w14:textId="0CB1CB52" w:rsidR="0068052C" w:rsidRDefault="00E9789A" w:rsidP="001852CF">
            <w:pPr>
              <w:ind w:leftChars="0" w:left="0" w:firstLineChars="0" w:firstLine="0"/>
              <w:rPr>
                <w:rFonts w:ascii="Arial" w:eastAsia="Arial" w:hAnsi="Arial" w:cs="Arial"/>
                <w:sz w:val="22"/>
                <w:szCs w:val="22"/>
              </w:rPr>
            </w:pPr>
            <w:r>
              <w:rPr>
                <w:rFonts w:ascii="Arial" w:eastAsia="Arial" w:hAnsi="Arial" w:cs="Arial"/>
                <w:sz w:val="22"/>
                <w:szCs w:val="22"/>
              </w:rPr>
              <w:t>Expression and Prohibition of Discrimination: Focusing on Art.10 and Art.14 of the ECHR</w:t>
            </w:r>
          </w:p>
        </w:tc>
        <w:tc>
          <w:tcPr>
            <w:tcW w:w="935" w:type="dxa"/>
          </w:tcPr>
          <w:p w14:paraId="357A6DC7" w14:textId="74DC4D23"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GM</w:t>
            </w:r>
          </w:p>
        </w:tc>
      </w:tr>
      <w:tr w:rsidR="0068052C" w14:paraId="0C542992" w14:textId="77777777" w:rsidTr="00C20AF3">
        <w:tc>
          <w:tcPr>
            <w:tcW w:w="779" w:type="dxa"/>
          </w:tcPr>
          <w:p w14:paraId="7E8E1F3B" w14:textId="72C71000"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6</w:t>
            </w:r>
          </w:p>
        </w:tc>
        <w:tc>
          <w:tcPr>
            <w:tcW w:w="1343" w:type="dxa"/>
          </w:tcPr>
          <w:p w14:paraId="2D511D2F" w14:textId="633F67BC"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16/02/2024</w:t>
            </w:r>
          </w:p>
        </w:tc>
        <w:tc>
          <w:tcPr>
            <w:tcW w:w="5953" w:type="dxa"/>
          </w:tcPr>
          <w:p w14:paraId="1BD96C91" w14:textId="4A4126CD" w:rsidR="0068052C" w:rsidRDefault="00DA34EB" w:rsidP="001852CF">
            <w:pPr>
              <w:ind w:leftChars="0" w:left="0" w:firstLineChars="0" w:firstLine="0"/>
              <w:rPr>
                <w:rFonts w:ascii="Arial" w:eastAsia="Arial" w:hAnsi="Arial" w:cs="Arial"/>
                <w:sz w:val="22"/>
                <w:szCs w:val="22"/>
              </w:rPr>
            </w:pPr>
            <w:r>
              <w:rPr>
                <w:rFonts w:ascii="Arial" w:eastAsia="Arial" w:hAnsi="Arial" w:cs="Arial"/>
                <w:sz w:val="22"/>
                <w:szCs w:val="22"/>
              </w:rPr>
              <w:t>The Principle of Good Faith: Focusing on Article 18 of the ECHR</w:t>
            </w:r>
          </w:p>
        </w:tc>
        <w:tc>
          <w:tcPr>
            <w:tcW w:w="935" w:type="dxa"/>
          </w:tcPr>
          <w:p w14:paraId="7F26BE01" w14:textId="05469EEB"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AF</w:t>
            </w:r>
          </w:p>
        </w:tc>
      </w:tr>
      <w:tr w:rsidR="0068052C" w14:paraId="6A382D5B" w14:textId="77777777" w:rsidTr="00C20AF3">
        <w:tc>
          <w:tcPr>
            <w:tcW w:w="779" w:type="dxa"/>
          </w:tcPr>
          <w:p w14:paraId="13CB8D99" w14:textId="59BDBC59"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7</w:t>
            </w:r>
          </w:p>
        </w:tc>
        <w:tc>
          <w:tcPr>
            <w:tcW w:w="1343" w:type="dxa"/>
          </w:tcPr>
          <w:p w14:paraId="0303EBF8" w14:textId="05710A07"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23/02/2024</w:t>
            </w:r>
          </w:p>
        </w:tc>
        <w:tc>
          <w:tcPr>
            <w:tcW w:w="5953" w:type="dxa"/>
          </w:tcPr>
          <w:p w14:paraId="48804436" w14:textId="4F74A8F1" w:rsidR="0068052C" w:rsidRDefault="002A5463" w:rsidP="001852CF">
            <w:pPr>
              <w:ind w:leftChars="0" w:left="0" w:firstLineChars="0" w:firstLine="0"/>
              <w:rPr>
                <w:rFonts w:ascii="Arial" w:eastAsia="Arial" w:hAnsi="Arial" w:cs="Arial"/>
                <w:sz w:val="22"/>
                <w:szCs w:val="22"/>
              </w:rPr>
            </w:pPr>
            <w:r>
              <w:rPr>
                <w:rFonts w:ascii="Arial" w:eastAsia="Arial" w:hAnsi="Arial" w:cs="Arial"/>
                <w:sz w:val="22"/>
                <w:szCs w:val="22"/>
              </w:rPr>
              <w:t>Russia’s Legacy on the Council of Europe</w:t>
            </w:r>
            <w:r w:rsidR="007829CC">
              <w:rPr>
                <w:rFonts w:ascii="Arial" w:eastAsia="Arial" w:hAnsi="Arial" w:cs="Arial"/>
                <w:sz w:val="22"/>
                <w:szCs w:val="22"/>
              </w:rPr>
              <w:t xml:space="preserve"> and the ECtHR</w:t>
            </w:r>
          </w:p>
        </w:tc>
        <w:tc>
          <w:tcPr>
            <w:tcW w:w="935" w:type="dxa"/>
          </w:tcPr>
          <w:p w14:paraId="7BC5B185" w14:textId="421B9E7C"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AF</w:t>
            </w:r>
          </w:p>
        </w:tc>
      </w:tr>
      <w:tr w:rsidR="0068052C" w14:paraId="75D5325B" w14:textId="77777777" w:rsidTr="00C20AF3">
        <w:tc>
          <w:tcPr>
            <w:tcW w:w="779" w:type="dxa"/>
          </w:tcPr>
          <w:p w14:paraId="5249048E" w14:textId="5EEF7A5F"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8</w:t>
            </w:r>
          </w:p>
        </w:tc>
        <w:tc>
          <w:tcPr>
            <w:tcW w:w="1343" w:type="dxa"/>
          </w:tcPr>
          <w:p w14:paraId="564090DA" w14:textId="780EF75B"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01/03/2024</w:t>
            </w:r>
          </w:p>
        </w:tc>
        <w:tc>
          <w:tcPr>
            <w:tcW w:w="5953" w:type="dxa"/>
          </w:tcPr>
          <w:p w14:paraId="0601F02A" w14:textId="24691146" w:rsidR="0068052C" w:rsidRDefault="00E9789A" w:rsidP="001852CF">
            <w:pPr>
              <w:ind w:leftChars="0" w:left="0" w:firstLineChars="0" w:firstLine="0"/>
              <w:rPr>
                <w:rFonts w:ascii="Arial" w:eastAsia="Arial" w:hAnsi="Arial" w:cs="Arial"/>
                <w:sz w:val="22"/>
                <w:szCs w:val="22"/>
              </w:rPr>
            </w:pPr>
            <w:r>
              <w:rPr>
                <w:rFonts w:ascii="Arial" w:eastAsia="Arial" w:hAnsi="Arial" w:cs="Arial"/>
                <w:sz w:val="22"/>
                <w:szCs w:val="22"/>
              </w:rPr>
              <w:t>Contemporary Issues and Challenges to the ECHR: Culture and Climate</w:t>
            </w:r>
          </w:p>
        </w:tc>
        <w:tc>
          <w:tcPr>
            <w:tcW w:w="935" w:type="dxa"/>
          </w:tcPr>
          <w:p w14:paraId="13671D21" w14:textId="7C8B9E7F" w:rsidR="0068052C" w:rsidRDefault="0068052C" w:rsidP="001852CF">
            <w:pPr>
              <w:ind w:leftChars="0" w:left="0" w:firstLineChars="0" w:firstLine="0"/>
              <w:rPr>
                <w:rFonts w:ascii="Arial" w:eastAsia="Arial" w:hAnsi="Arial" w:cs="Arial"/>
                <w:sz w:val="22"/>
                <w:szCs w:val="22"/>
              </w:rPr>
            </w:pPr>
            <w:r>
              <w:rPr>
                <w:rFonts w:ascii="Arial" w:eastAsia="Arial" w:hAnsi="Arial" w:cs="Arial"/>
                <w:sz w:val="22"/>
                <w:szCs w:val="22"/>
              </w:rPr>
              <w:t>GM</w:t>
            </w:r>
          </w:p>
        </w:tc>
      </w:tr>
    </w:tbl>
    <w:p w14:paraId="08842F03" w14:textId="70A89DAE" w:rsidR="001852CF" w:rsidRPr="001852CF" w:rsidRDefault="001852CF" w:rsidP="001852CF">
      <w:pPr>
        <w:ind w:left="0" w:hanging="2"/>
        <w:rPr>
          <w:rFonts w:ascii="Arial" w:eastAsia="Arial" w:hAnsi="Arial" w:cs="Arial"/>
          <w:sz w:val="22"/>
          <w:szCs w:val="22"/>
        </w:rPr>
      </w:pPr>
    </w:p>
    <w:sectPr w:rsidR="001852CF" w:rsidRPr="001852CF" w:rsidSect="001852CF">
      <w:headerReference w:type="even" r:id="rId16"/>
      <w:headerReference w:type="default" r:id="rId17"/>
      <w:footerReference w:type="even" r:id="rId18"/>
      <w:footerReference w:type="default" r:id="rId19"/>
      <w:headerReference w:type="first" r:id="rId20"/>
      <w:footerReference w:type="first" r:id="rId21"/>
      <w:pgSz w:w="11900" w:h="16840"/>
      <w:pgMar w:top="1286" w:right="1440" w:bottom="139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388B" w14:textId="77777777" w:rsidR="00485DD8" w:rsidRDefault="00485DD8" w:rsidP="001852CF">
      <w:pPr>
        <w:spacing w:line="240" w:lineRule="auto"/>
        <w:ind w:left="0" w:hanging="2"/>
      </w:pPr>
      <w:r>
        <w:separator/>
      </w:r>
    </w:p>
  </w:endnote>
  <w:endnote w:type="continuationSeparator" w:id="0">
    <w:p w14:paraId="5E77EF89" w14:textId="77777777" w:rsidR="00485DD8" w:rsidRDefault="00485DD8" w:rsidP="001852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EFE9" w14:textId="77777777" w:rsidR="001852CF" w:rsidRDefault="001852C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DE5C" w14:textId="77777777" w:rsidR="001852CF" w:rsidRDefault="001852C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06BE" w14:textId="77777777" w:rsidR="001852CF" w:rsidRDefault="001852C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14EB" w14:textId="77777777" w:rsidR="00485DD8" w:rsidRDefault="00485DD8" w:rsidP="001852CF">
      <w:pPr>
        <w:spacing w:line="240" w:lineRule="auto"/>
        <w:ind w:left="0" w:hanging="2"/>
      </w:pPr>
      <w:r>
        <w:separator/>
      </w:r>
    </w:p>
  </w:footnote>
  <w:footnote w:type="continuationSeparator" w:id="0">
    <w:p w14:paraId="6F86FD48" w14:textId="77777777" w:rsidR="00485DD8" w:rsidRDefault="00485DD8" w:rsidP="001852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6AA0" w14:textId="77777777" w:rsidR="001852CF" w:rsidRDefault="001852C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A65" w14:textId="1D640FB7" w:rsidR="001852CF" w:rsidRDefault="00C20AF3" w:rsidP="00C20AF3">
    <w:pPr>
      <w:pStyle w:val="Header"/>
      <w:ind w:left="0" w:hanging="2"/>
      <w:jc w:val="center"/>
    </w:pPr>
    <w:r>
      <w:rPr>
        <w:noProof/>
      </w:rPr>
      <w:drawing>
        <wp:inline distT="0" distB="0" distL="0" distR="0" wp14:anchorId="19D3B4B2" wp14:editId="431F651D">
          <wp:extent cx="2108200" cy="1002365"/>
          <wp:effectExtent l="0" t="0" r="6350" b="7620"/>
          <wp:docPr id="1840592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506" cy="100488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3258" w14:textId="77777777" w:rsidR="001852CF" w:rsidRDefault="001852C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21845"/>
    <w:multiLevelType w:val="hybridMultilevel"/>
    <w:tmpl w:val="6D90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21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CF"/>
    <w:rsid w:val="000162AB"/>
    <w:rsid w:val="0006330C"/>
    <w:rsid w:val="00111015"/>
    <w:rsid w:val="001852CF"/>
    <w:rsid w:val="001A3FCC"/>
    <w:rsid w:val="001E3709"/>
    <w:rsid w:val="0022796A"/>
    <w:rsid w:val="00252B44"/>
    <w:rsid w:val="002551A9"/>
    <w:rsid w:val="002A5463"/>
    <w:rsid w:val="00347074"/>
    <w:rsid w:val="00381CD4"/>
    <w:rsid w:val="00485DD8"/>
    <w:rsid w:val="0068052C"/>
    <w:rsid w:val="00725C88"/>
    <w:rsid w:val="007610FD"/>
    <w:rsid w:val="007829CC"/>
    <w:rsid w:val="007B67D2"/>
    <w:rsid w:val="00934A22"/>
    <w:rsid w:val="009906EC"/>
    <w:rsid w:val="00A62E71"/>
    <w:rsid w:val="00AC7E75"/>
    <w:rsid w:val="00BD0DB8"/>
    <w:rsid w:val="00C15FD4"/>
    <w:rsid w:val="00C20AF3"/>
    <w:rsid w:val="00CB2C34"/>
    <w:rsid w:val="00CD0FF8"/>
    <w:rsid w:val="00D60CCF"/>
    <w:rsid w:val="00D829E6"/>
    <w:rsid w:val="00DA34EB"/>
    <w:rsid w:val="00E81727"/>
    <w:rsid w:val="00E978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CB372"/>
  <w15:chartTrackingRefBased/>
  <w15:docId w15:val="{0B3A4764-69F3-E74E-B952-AAA5E6BA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CF"/>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2CF"/>
    <w:pPr>
      <w:jc w:val="center"/>
    </w:pPr>
    <w:rPr>
      <w:rFonts w:ascii="Arial" w:hAnsi="Arial" w:cs="Arial"/>
      <w:b/>
      <w:bCs/>
      <w:sz w:val="48"/>
    </w:rPr>
  </w:style>
  <w:style w:type="character" w:customStyle="1" w:styleId="TitleChar">
    <w:name w:val="Title Char"/>
    <w:basedOn w:val="DefaultParagraphFont"/>
    <w:link w:val="Title"/>
    <w:uiPriority w:val="10"/>
    <w:rsid w:val="001852CF"/>
    <w:rPr>
      <w:rFonts w:ascii="Arial" w:eastAsia="Times New Roman" w:hAnsi="Arial" w:cs="Arial"/>
      <w:b/>
      <w:bCs/>
      <w:position w:val="-1"/>
      <w:sz w:val="48"/>
      <w:lang w:val="en-GB"/>
    </w:rPr>
  </w:style>
  <w:style w:type="character" w:styleId="Hyperlink">
    <w:name w:val="Hyperlink"/>
    <w:rsid w:val="001852CF"/>
    <w:rPr>
      <w:color w:val="0000FF"/>
      <w:w w:val="100"/>
      <w:position w:val="-1"/>
      <w:u w:val="single"/>
      <w:effect w:val="none"/>
      <w:vertAlign w:val="baseline"/>
      <w:cs w:val="0"/>
      <w:em w:val="none"/>
    </w:rPr>
  </w:style>
  <w:style w:type="paragraph" w:styleId="ListParagraph">
    <w:name w:val="List Paragraph"/>
    <w:basedOn w:val="Normal"/>
    <w:uiPriority w:val="34"/>
    <w:qFormat/>
    <w:rsid w:val="001852CF"/>
    <w:pPr>
      <w:spacing w:after="200" w:line="276" w:lineRule="auto"/>
      <w:ind w:left="720"/>
      <w:contextualSpacing/>
    </w:pPr>
    <w:rPr>
      <w:rFonts w:ascii="Calibri" w:eastAsia="Calibri" w:hAnsi="Calibri"/>
      <w:sz w:val="22"/>
      <w:szCs w:val="22"/>
      <w:lang w:val="en-IE"/>
    </w:rPr>
  </w:style>
  <w:style w:type="character" w:styleId="FollowedHyperlink">
    <w:name w:val="FollowedHyperlink"/>
    <w:basedOn w:val="DefaultParagraphFont"/>
    <w:uiPriority w:val="99"/>
    <w:semiHidden/>
    <w:unhideWhenUsed/>
    <w:rsid w:val="001852CF"/>
    <w:rPr>
      <w:color w:val="954F72" w:themeColor="followedHyperlink"/>
      <w:u w:val="single"/>
    </w:rPr>
  </w:style>
  <w:style w:type="paragraph" w:styleId="Header">
    <w:name w:val="header"/>
    <w:basedOn w:val="Normal"/>
    <w:link w:val="HeaderChar"/>
    <w:uiPriority w:val="99"/>
    <w:unhideWhenUsed/>
    <w:rsid w:val="001852CF"/>
    <w:pPr>
      <w:tabs>
        <w:tab w:val="center" w:pos="4513"/>
        <w:tab w:val="right" w:pos="9026"/>
      </w:tabs>
      <w:spacing w:line="240" w:lineRule="auto"/>
    </w:pPr>
  </w:style>
  <w:style w:type="character" w:customStyle="1" w:styleId="HeaderChar">
    <w:name w:val="Header Char"/>
    <w:basedOn w:val="DefaultParagraphFont"/>
    <w:link w:val="Header"/>
    <w:uiPriority w:val="99"/>
    <w:rsid w:val="001852CF"/>
    <w:rPr>
      <w:rFonts w:ascii="Times New Roman" w:eastAsia="Times New Roman" w:hAnsi="Times New Roman" w:cs="Times New Roman"/>
      <w:position w:val="-1"/>
      <w:lang w:val="en-GB"/>
    </w:rPr>
  </w:style>
  <w:style w:type="paragraph" w:styleId="Footer">
    <w:name w:val="footer"/>
    <w:basedOn w:val="Normal"/>
    <w:link w:val="FooterChar"/>
    <w:uiPriority w:val="99"/>
    <w:unhideWhenUsed/>
    <w:rsid w:val="001852CF"/>
    <w:pPr>
      <w:tabs>
        <w:tab w:val="center" w:pos="4513"/>
        <w:tab w:val="right" w:pos="9026"/>
      </w:tabs>
      <w:spacing w:line="240" w:lineRule="auto"/>
    </w:pPr>
  </w:style>
  <w:style w:type="character" w:customStyle="1" w:styleId="FooterChar">
    <w:name w:val="Footer Char"/>
    <w:basedOn w:val="DefaultParagraphFont"/>
    <w:link w:val="Footer"/>
    <w:uiPriority w:val="99"/>
    <w:rsid w:val="001852CF"/>
    <w:rPr>
      <w:rFonts w:ascii="Times New Roman" w:eastAsia="Times New Roman" w:hAnsi="Times New Roman" w:cs="Times New Roman"/>
      <w:position w:val="-1"/>
      <w:lang w:val="en-GB"/>
    </w:rPr>
  </w:style>
  <w:style w:type="character" w:styleId="UnresolvedMention">
    <w:name w:val="Unresolved Mention"/>
    <w:basedOn w:val="DefaultParagraphFont"/>
    <w:uiPriority w:val="99"/>
    <w:semiHidden/>
    <w:unhideWhenUsed/>
    <w:rsid w:val="001852CF"/>
    <w:rPr>
      <w:color w:val="605E5C"/>
      <w:shd w:val="clear" w:color="auto" w:fill="E1DFDD"/>
    </w:rPr>
  </w:style>
  <w:style w:type="table" w:styleId="TableGrid">
    <w:name w:val="Table Grid"/>
    <w:basedOn w:val="TableNormal"/>
    <w:uiPriority w:val="39"/>
    <w:rsid w:val="0068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9E6"/>
    <w:rPr>
      <w:rFonts w:ascii="Times New Roman" w:eastAsia="Times New Roman" w:hAnsi="Times New Roman" w:cs="Times New Roman"/>
      <w:position w:val="-1"/>
      <w:lang w:val="en-GB"/>
    </w:rPr>
  </w:style>
  <w:style w:type="character" w:styleId="CommentReference">
    <w:name w:val="annotation reference"/>
    <w:basedOn w:val="DefaultParagraphFont"/>
    <w:uiPriority w:val="99"/>
    <w:semiHidden/>
    <w:unhideWhenUsed/>
    <w:rsid w:val="00D829E6"/>
    <w:rPr>
      <w:sz w:val="16"/>
      <w:szCs w:val="16"/>
    </w:rPr>
  </w:style>
  <w:style w:type="paragraph" w:styleId="CommentText">
    <w:name w:val="annotation text"/>
    <w:basedOn w:val="Normal"/>
    <w:link w:val="CommentTextChar"/>
    <w:uiPriority w:val="99"/>
    <w:semiHidden/>
    <w:unhideWhenUsed/>
    <w:rsid w:val="00D829E6"/>
    <w:pPr>
      <w:spacing w:line="240" w:lineRule="auto"/>
    </w:pPr>
    <w:rPr>
      <w:sz w:val="20"/>
      <w:szCs w:val="20"/>
    </w:rPr>
  </w:style>
  <w:style w:type="character" w:customStyle="1" w:styleId="CommentTextChar">
    <w:name w:val="Comment Text Char"/>
    <w:basedOn w:val="DefaultParagraphFont"/>
    <w:link w:val="CommentText"/>
    <w:uiPriority w:val="99"/>
    <w:semiHidden/>
    <w:rsid w:val="00D829E6"/>
    <w:rPr>
      <w:rFonts w:ascii="Times New Roman" w:eastAsia="Times New Roman" w:hAnsi="Times New Roman" w:cs="Times New Roman"/>
      <w:position w:val="-1"/>
      <w:sz w:val="20"/>
      <w:szCs w:val="20"/>
      <w:lang w:val="en-GB"/>
    </w:rPr>
  </w:style>
  <w:style w:type="paragraph" w:styleId="CommentSubject">
    <w:name w:val="annotation subject"/>
    <w:basedOn w:val="CommentText"/>
    <w:next w:val="CommentText"/>
    <w:link w:val="CommentSubjectChar"/>
    <w:uiPriority w:val="99"/>
    <w:semiHidden/>
    <w:unhideWhenUsed/>
    <w:rsid w:val="00D829E6"/>
    <w:rPr>
      <w:b/>
      <w:bCs/>
    </w:rPr>
  </w:style>
  <w:style w:type="character" w:customStyle="1" w:styleId="CommentSubjectChar">
    <w:name w:val="Comment Subject Char"/>
    <w:basedOn w:val="CommentTextChar"/>
    <w:link w:val="CommentSubject"/>
    <w:uiPriority w:val="99"/>
    <w:semiHidden/>
    <w:rsid w:val="00D829E6"/>
    <w:rPr>
      <w:rFonts w:ascii="Times New Roman" w:eastAsia="Times New Roman" w:hAnsi="Times New Roman" w:cs="Times New Roman"/>
      <w:b/>
      <w:bCs/>
      <w:positio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40">
      <w:bodyDiv w:val="1"/>
      <w:marLeft w:val="0"/>
      <w:marRight w:val="0"/>
      <w:marTop w:val="0"/>
      <w:marBottom w:val="0"/>
      <w:divBdr>
        <w:top w:val="none" w:sz="0" w:space="0" w:color="auto"/>
        <w:left w:val="none" w:sz="0" w:space="0" w:color="auto"/>
        <w:bottom w:val="none" w:sz="0" w:space="0" w:color="auto"/>
        <w:right w:val="none" w:sz="0" w:space="0" w:color="auto"/>
      </w:divBdr>
    </w:div>
    <w:div w:id="803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forde@gmail.com" TargetMode="External"/><Relationship Id="rId13" Type="http://schemas.openxmlformats.org/officeDocument/2006/relationships/hyperlink" Target="http://www.echr.coe.i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erard.maguire@universityofgalway.ie" TargetMode="External"/><Relationship Id="rId12" Type="http://schemas.openxmlformats.org/officeDocument/2006/relationships/hyperlink" Target="https://www.coe.int/en/web/human-rights-rule-of-law/human-rights-handbook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library.nuigalway.ie/permalink/f/1pmb9lf/353GAL_ALMA_DS51140097840003626" TargetMode="External"/><Relationship Id="rId5" Type="http://schemas.openxmlformats.org/officeDocument/2006/relationships/footnotes" Target="footnotes.xml"/><Relationship Id="rId15" Type="http://schemas.openxmlformats.org/officeDocument/2006/relationships/hyperlink" Target="https://hudoc.exec.coe.int/" TargetMode="External"/><Relationship Id="rId23" Type="http://schemas.openxmlformats.org/officeDocument/2006/relationships/theme" Target="theme/theme1.xml"/><Relationship Id="rId10" Type="http://schemas.openxmlformats.org/officeDocument/2006/relationships/hyperlink" Target="https://www.echr.coe.int/Pages/home.aspx?p=caselaw/analysis/guides&amp;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earch.library.nuigalway.ie/permalink/f/3b1kce/TN_cdi_askewsholts_vlebooks_9780191066771" TargetMode="External"/><Relationship Id="rId14" Type="http://schemas.openxmlformats.org/officeDocument/2006/relationships/hyperlink" Target="https://hudoc.echr.coe.int/e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dc:creator>
  <cp:keywords/>
  <dc:description/>
  <cp:lastModifiedBy>Gerard Maguire</cp:lastModifiedBy>
  <cp:revision>2</cp:revision>
  <dcterms:created xsi:type="dcterms:W3CDTF">2023-12-06T11:35:00Z</dcterms:created>
  <dcterms:modified xsi:type="dcterms:W3CDTF">2023-12-06T11:35:00Z</dcterms:modified>
</cp:coreProperties>
</file>