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657ED" w14:textId="57F75913" w:rsidR="005001FA" w:rsidRPr="005001FA" w:rsidRDefault="005001FA" w:rsidP="005001FA">
      <w:pPr>
        <w:pStyle w:val="Heading1"/>
        <w:numPr>
          <w:ilvl w:val="0"/>
          <w:numId w:val="6"/>
        </w:numPr>
        <w:spacing w:line="240" w:lineRule="auto"/>
        <w:ind w:left="426" w:hanging="426"/>
      </w:pPr>
      <w:r w:rsidRPr="005001FA">
        <w:t>Introduction</w:t>
      </w:r>
    </w:p>
    <w:p w14:paraId="70572631" w14:textId="4663AC54" w:rsidR="005001FA" w:rsidRPr="005001FA" w:rsidRDefault="005001FA" w:rsidP="005001FA">
      <w:pPr>
        <w:jc w:val="left"/>
      </w:pPr>
      <w:r w:rsidRPr="005001FA">
        <w:t xml:space="preserve">The Buildings and Estates Department would like to remind all university personnel to prioritize fire safety throughout the festive season. As outlined in the University’s Health and Safety Policy, each </w:t>
      </w:r>
      <w:r w:rsidRPr="005001FA">
        <w:rPr>
          <w:b/>
          <w:bCs/>
        </w:rPr>
        <w:t>Head of Unit/Support Group</w:t>
      </w:r>
      <w:r w:rsidRPr="005001FA">
        <w:t xml:space="preserve"> is responsible for ensuring fire safety is maintained in their area of responsibility. This includes the management and control of fire risks, particularly during festive activities. The </w:t>
      </w:r>
      <w:r w:rsidRPr="005001FA">
        <w:rPr>
          <w:b/>
          <w:bCs/>
        </w:rPr>
        <w:t>University Safety Statement Policy</w:t>
      </w:r>
      <w:r w:rsidRPr="005001FA">
        <w:t xml:space="preserve"> designates the </w:t>
      </w:r>
      <w:r w:rsidRPr="005001FA">
        <w:rPr>
          <w:b/>
          <w:bCs/>
        </w:rPr>
        <w:t>Head of Unit, School, and Support Group</w:t>
      </w:r>
      <w:r w:rsidRPr="005001FA">
        <w:t xml:space="preserve"> as the "Dutyholder," in their capacity as the employer, responsible person, or person in control of premises. This responsibility can be delegated to a suitable management level.</w:t>
      </w:r>
    </w:p>
    <w:p w14:paraId="592CF061" w14:textId="6246A02B" w:rsidR="005001FA" w:rsidRPr="005001FA" w:rsidRDefault="005001FA" w:rsidP="005001FA">
      <w:pPr>
        <w:pStyle w:val="Heading1"/>
        <w:numPr>
          <w:ilvl w:val="0"/>
          <w:numId w:val="6"/>
        </w:numPr>
        <w:spacing w:line="240" w:lineRule="auto"/>
        <w:ind w:left="426" w:hanging="426"/>
      </w:pPr>
      <w:r w:rsidRPr="005001FA">
        <w:t>Dutyholder Responsibilities</w:t>
      </w:r>
    </w:p>
    <w:p w14:paraId="5E198E19" w14:textId="0169796B" w:rsidR="005001FA" w:rsidRPr="005001FA" w:rsidRDefault="005001FA" w:rsidP="005001FA">
      <w:pPr>
        <w:jc w:val="left"/>
      </w:pPr>
      <w:r w:rsidRPr="005001FA">
        <w:t xml:space="preserve">Dutyholders must ensure that fire safety is adequately managed within their areas of control. This includes regular communication with the </w:t>
      </w:r>
      <w:r w:rsidRPr="005001FA">
        <w:rPr>
          <w:b/>
          <w:bCs/>
        </w:rPr>
        <w:t>University Fire Safety Officer</w:t>
      </w:r>
      <w:r w:rsidRPr="005001FA">
        <w:t xml:space="preserve"> and </w:t>
      </w:r>
      <w:r w:rsidRPr="005001FA">
        <w:rPr>
          <w:b/>
          <w:bCs/>
        </w:rPr>
        <w:t>Fire Safety Area Supervisors</w:t>
      </w:r>
      <w:r w:rsidRPr="005001FA">
        <w:t xml:space="preserve"> to ensure that the fire safety guidelines in this document are implemented effectively. They must also ensure that necessary systems are in place to minimize fire risks and promote safe practices across all university facilities.</w:t>
      </w:r>
    </w:p>
    <w:p w14:paraId="457AFFF5" w14:textId="1D134BDF" w:rsidR="005001FA" w:rsidRPr="005001FA" w:rsidRDefault="005001FA" w:rsidP="005001FA">
      <w:pPr>
        <w:pStyle w:val="Heading1"/>
        <w:numPr>
          <w:ilvl w:val="0"/>
          <w:numId w:val="6"/>
        </w:numPr>
        <w:spacing w:line="240" w:lineRule="auto"/>
        <w:ind w:left="426" w:hanging="426"/>
      </w:pPr>
      <w:r w:rsidRPr="005001FA">
        <w:t>Christmas Trees and Decorations</w:t>
      </w:r>
    </w:p>
    <w:p w14:paraId="1ABA265C" w14:textId="77777777" w:rsidR="005001FA" w:rsidRDefault="005001FA" w:rsidP="005001FA">
      <w:pPr>
        <w:jc w:val="left"/>
      </w:pPr>
      <w:r w:rsidRPr="005001FA">
        <w:t>The festive season often brings additional fire risks with the use of Christmas trees, lights, decorations, and candles. While these can be used safely with proper care, their introduction into university buildings adds potential fire hazards, especially in areas with high occupancy or where public access is common. Fire is a significant danger that can occur unexpectedly, affecting everyone.</w:t>
      </w:r>
    </w:p>
    <w:p w14:paraId="350E5515" w14:textId="55ACCE16" w:rsidR="005001FA" w:rsidRDefault="005001FA" w:rsidP="005001FA">
      <w:pPr>
        <w:jc w:val="left"/>
      </w:pPr>
      <w:r w:rsidRPr="005001FA">
        <w:t xml:space="preserve">A burning tree can rapidly fill an area with fire and deadly gases as illustrated in this YouTube video </w:t>
      </w:r>
      <w:hyperlink r:id="rId7" w:history="1">
        <w:r w:rsidRPr="00DA3B15">
          <w:rPr>
            <w:rStyle w:val="Hyperlink"/>
          </w:rPr>
          <w:t>https://www.youtube.com/watch?gl=US&amp;hl=uk&amp;v=o2dNN2waoSw</w:t>
        </w:r>
      </w:hyperlink>
    </w:p>
    <w:p w14:paraId="4141774C" w14:textId="77777777" w:rsidR="00C26CBC" w:rsidRPr="005001FA" w:rsidRDefault="00C26CBC" w:rsidP="005001FA">
      <w:pPr>
        <w:jc w:val="left"/>
      </w:pPr>
    </w:p>
    <w:p w14:paraId="725E4E6B" w14:textId="77777777" w:rsidR="005001FA" w:rsidRPr="005001FA" w:rsidRDefault="005001FA" w:rsidP="005001FA">
      <w:pPr>
        <w:jc w:val="left"/>
      </w:pPr>
      <w:r w:rsidRPr="005001FA">
        <w:t>Certain types of Christmas trees and decorations are highly combustible, and their use requires extra fire safety precautions, particularly in:</w:t>
      </w:r>
    </w:p>
    <w:p w14:paraId="26F34526" w14:textId="77777777" w:rsidR="005001FA" w:rsidRPr="005001FA" w:rsidRDefault="005001FA" w:rsidP="005001FA">
      <w:pPr>
        <w:numPr>
          <w:ilvl w:val="0"/>
          <w:numId w:val="9"/>
        </w:numPr>
        <w:jc w:val="left"/>
      </w:pPr>
      <w:r w:rsidRPr="005001FA">
        <w:t>Open access areas.</w:t>
      </w:r>
    </w:p>
    <w:p w14:paraId="5DB09A65" w14:textId="77777777" w:rsidR="005001FA" w:rsidRPr="005001FA" w:rsidRDefault="005001FA" w:rsidP="005001FA">
      <w:pPr>
        <w:numPr>
          <w:ilvl w:val="0"/>
          <w:numId w:val="9"/>
        </w:numPr>
        <w:jc w:val="left"/>
      </w:pPr>
      <w:r w:rsidRPr="005001FA">
        <w:t>Spaces with public access.</w:t>
      </w:r>
    </w:p>
    <w:p w14:paraId="5B1FFB7E" w14:textId="77777777" w:rsidR="005001FA" w:rsidRDefault="005001FA" w:rsidP="005001FA">
      <w:pPr>
        <w:numPr>
          <w:ilvl w:val="0"/>
          <w:numId w:val="9"/>
        </w:numPr>
        <w:jc w:val="left"/>
      </w:pPr>
      <w:r w:rsidRPr="005001FA">
        <w:t>Fire escape routes.</w:t>
      </w:r>
    </w:p>
    <w:p w14:paraId="4FB949EF" w14:textId="77777777" w:rsidR="005001FA" w:rsidRPr="005001FA" w:rsidRDefault="005001FA" w:rsidP="00C26CBC">
      <w:pPr>
        <w:ind w:left="0" w:firstLine="0"/>
        <w:jc w:val="left"/>
      </w:pPr>
    </w:p>
    <w:p w14:paraId="74FFF2B4" w14:textId="0F9BCCA9" w:rsidR="005001FA" w:rsidRPr="005001FA" w:rsidRDefault="005001FA" w:rsidP="005001FA">
      <w:pPr>
        <w:jc w:val="left"/>
      </w:pPr>
      <w:r w:rsidRPr="005001FA">
        <w:t>Occupants with greater risks include</w:t>
      </w:r>
      <w:r>
        <w:rPr>
          <w:b/>
          <w:bCs/>
        </w:rPr>
        <w:t xml:space="preserve"> </w:t>
      </w:r>
      <w:r>
        <w:t>i</w:t>
      </w:r>
      <w:r w:rsidRPr="005001FA">
        <w:t>ndividuals with mobility impairments, children, and visitors unfamiliar with the building are at higher risk in the event of a fire. In such areas, additional fire marshals should be assigned.</w:t>
      </w:r>
    </w:p>
    <w:p w14:paraId="44D1577C" w14:textId="77777777" w:rsidR="005001FA" w:rsidRDefault="005001FA" w:rsidP="005001FA">
      <w:pPr>
        <w:jc w:val="left"/>
      </w:pPr>
      <w:r w:rsidRPr="005001FA">
        <w:t xml:space="preserve">Trees and decorations should not be displayed before </w:t>
      </w:r>
      <w:r w:rsidRPr="005001FA">
        <w:rPr>
          <w:b/>
          <w:bCs/>
        </w:rPr>
        <w:t>1st December</w:t>
      </w:r>
      <w:r w:rsidRPr="005001FA">
        <w:t xml:space="preserve"> and should be removed as soon as possible after Christmas to minimize fire risks.</w:t>
      </w:r>
    </w:p>
    <w:p w14:paraId="16AC63E1" w14:textId="77777777" w:rsidR="005001FA" w:rsidRPr="005001FA" w:rsidRDefault="005001FA" w:rsidP="005001FA">
      <w:pPr>
        <w:jc w:val="left"/>
      </w:pPr>
    </w:p>
    <w:p w14:paraId="2E160E4F" w14:textId="4DF42D46" w:rsidR="005001FA" w:rsidRPr="005001FA" w:rsidRDefault="005001FA" w:rsidP="005001FA">
      <w:pPr>
        <w:pStyle w:val="Heading1"/>
        <w:numPr>
          <w:ilvl w:val="0"/>
          <w:numId w:val="6"/>
        </w:numPr>
        <w:spacing w:line="240" w:lineRule="auto"/>
        <w:ind w:left="426" w:hanging="426"/>
      </w:pPr>
      <w:r w:rsidRPr="005001FA">
        <w:t xml:space="preserve"> Choice of Tree</w:t>
      </w:r>
    </w:p>
    <w:p w14:paraId="1F2FB382" w14:textId="77777777" w:rsidR="005001FA" w:rsidRPr="005001FA" w:rsidRDefault="005001FA" w:rsidP="005001FA">
      <w:pPr>
        <w:numPr>
          <w:ilvl w:val="0"/>
          <w:numId w:val="11"/>
        </w:numPr>
        <w:jc w:val="left"/>
      </w:pPr>
      <w:r w:rsidRPr="005001FA">
        <w:rPr>
          <w:b/>
          <w:bCs/>
        </w:rPr>
        <w:t>Artificial Trees</w:t>
      </w:r>
      <w:r w:rsidRPr="005001FA">
        <w:t>: Wherever possible, use flame-resistant artificial trees. These are generally safer and reduce the risk of fire.</w:t>
      </w:r>
    </w:p>
    <w:p w14:paraId="04064EA8" w14:textId="77777777" w:rsidR="005001FA" w:rsidRPr="005001FA" w:rsidRDefault="005001FA" w:rsidP="005001FA">
      <w:pPr>
        <w:numPr>
          <w:ilvl w:val="0"/>
          <w:numId w:val="11"/>
        </w:numPr>
        <w:jc w:val="left"/>
      </w:pPr>
      <w:r w:rsidRPr="005001FA">
        <w:rPr>
          <w:b/>
          <w:bCs/>
        </w:rPr>
        <w:t>Fibre Optic Trees</w:t>
      </w:r>
      <w:r w:rsidRPr="005001FA">
        <w:t xml:space="preserve">: Ensure fibre optic trees and lights are </w:t>
      </w:r>
      <w:r w:rsidRPr="005001FA">
        <w:rPr>
          <w:b/>
          <w:bCs/>
        </w:rPr>
        <w:t>CE marked</w:t>
      </w:r>
      <w:r w:rsidRPr="005001FA">
        <w:t xml:space="preserve"> for safety.</w:t>
      </w:r>
    </w:p>
    <w:p w14:paraId="01044100" w14:textId="77777777" w:rsidR="005001FA" w:rsidRDefault="005001FA" w:rsidP="005001FA">
      <w:pPr>
        <w:numPr>
          <w:ilvl w:val="0"/>
          <w:numId w:val="11"/>
        </w:numPr>
        <w:jc w:val="left"/>
      </w:pPr>
      <w:r w:rsidRPr="005001FA">
        <w:rPr>
          <w:b/>
          <w:bCs/>
        </w:rPr>
        <w:t>Positioning</w:t>
      </w:r>
      <w:r w:rsidRPr="005001FA">
        <w:t>: Secure the tree in place to prevent it from tipping over or obstructing pathways.</w:t>
      </w:r>
    </w:p>
    <w:p w14:paraId="2A6FE3F7" w14:textId="77777777" w:rsidR="005001FA" w:rsidRPr="005001FA" w:rsidRDefault="005001FA" w:rsidP="005001FA">
      <w:pPr>
        <w:ind w:left="720" w:firstLine="0"/>
        <w:jc w:val="left"/>
      </w:pPr>
    </w:p>
    <w:p w14:paraId="44A88B21" w14:textId="71C536BE" w:rsidR="005001FA" w:rsidRPr="005001FA" w:rsidRDefault="005001FA" w:rsidP="005001FA">
      <w:pPr>
        <w:jc w:val="left"/>
      </w:pPr>
      <w:r w:rsidRPr="005001FA">
        <w:t xml:space="preserve">If a real tree (cut or rooted) is deemed necessary, a </w:t>
      </w:r>
      <w:r w:rsidRPr="005001FA">
        <w:rPr>
          <w:b/>
          <w:bCs/>
        </w:rPr>
        <w:t>Risk Assessment</w:t>
      </w:r>
      <w:r w:rsidRPr="005001FA">
        <w:t xml:space="preserve"> must be conducted. This assessment should be submitted for approval to the Buildings and Estates department via email at </w:t>
      </w:r>
      <w:hyperlink r:id="rId8" w:history="1">
        <w:r w:rsidRPr="005001FA">
          <w:rPr>
            <w:rStyle w:val="Hyperlink"/>
          </w:rPr>
          <w:t>buildingsandestates@</w:t>
        </w:r>
        <w:r w:rsidRPr="00DA3B15">
          <w:rPr>
            <w:rStyle w:val="Hyperlink"/>
          </w:rPr>
          <w:t>universityofgalway.ie</w:t>
        </w:r>
      </w:hyperlink>
      <w:r>
        <w:t xml:space="preserve"> </w:t>
      </w:r>
      <w:r w:rsidRPr="005001FA">
        <w:t xml:space="preserve"> before introducing the tree into the building.</w:t>
      </w:r>
    </w:p>
    <w:p w14:paraId="78B9C406" w14:textId="450707F9" w:rsidR="005001FA" w:rsidRPr="005001FA" w:rsidRDefault="005001FA" w:rsidP="005001FA">
      <w:pPr>
        <w:pStyle w:val="Heading1"/>
        <w:numPr>
          <w:ilvl w:val="0"/>
          <w:numId w:val="6"/>
        </w:numPr>
        <w:spacing w:line="240" w:lineRule="auto"/>
        <w:ind w:left="426" w:hanging="426"/>
      </w:pPr>
      <w:r w:rsidRPr="005001FA">
        <w:t>Positioning of Christmas Trees</w:t>
      </w:r>
    </w:p>
    <w:p w14:paraId="09A2209B" w14:textId="77777777" w:rsidR="005001FA" w:rsidRPr="005001FA" w:rsidRDefault="005001FA" w:rsidP="005001FA">
      <w:pPr>
        <w:jc w:val="left"/>
      </w:pPr>
      <w:r w:rsidRPr="005001FA">
        <w:t>Christmas trees must be securely positioned to avoid creating hazards or blocking escape routes. Key guidelines include:</w:t>
      </w:r>
    </w:p>
    <w:p w14:paraId="2BC988B1" w14:textId="77777777" w:rsidR="005001FA" w:rsidRPr="005001FA" w:rsidRDefault="005001FA" w:rsidP="005001FA">
      <w:pPr>
        <w:numPr>
          <w:ilvl w:val="0"/>
          <w:numId w:val="13"/>
        </w:numPr>
        <w:jc w:val="left"/>
      </w:pPr>
      <w:r w:rsidRPr="005001FA">
        <w:t>Ensure trees do not obstruct escape routes or emergency exits.</w:t>
      </w:r>
    </w:p>
    <w:p w14:paraId="6D8DB27C" w14:textId="77777777" w:rsidR="005001FA" w:rsidRPr="005001FA" w:rsidRDefault="005001FA" w:rsidP="005001FA">
      <w:pPr>
        <w:numPr>
          <w:ilvl w:val="0"/>
          <w:numId w:val="13"/>
        </w:numPr>
        <w:jc w:val="left"/>
      </w:pPr>
      <w:r w:rsidRPr="005001FA">
        <w:t>Do not place trees adjacent to fire exit doors or in escape pathways.</w:t>
      </w:r>
    </w:p>
    <w:p w14:paraId="7005241F" w14:textId="77777777" w:rsidR="005001FA" w:rsidRPr="005001FA" w:rsidRDefault="005001FA" w:rsidP="005001FA">
      <w:pPr>
        <w:numPr>
          <w:ilvl w:val="0"/>
          <w:numId w:val="13"/>
        </w:numPr>
        <w:jc w:val="left"/>
      </w:pPr>
      <w:r w:rsidRPr="005001FA">
        <w:t>Avoid positioning trees in stairwells, on stair landings, or in areas with high fire loads (where combustible materials are stored).</w:t>
      </w:r>
    </w:p>
    <w:p w14:paraId="1047BAD1" w14:textId="48F91C9C" w:rsidR="005001FA" w:rsidRPr="005001FA" w:rsidRDefault="005001FA" w:rsidP="005001FA">
      <w:pPr>
        <w:pStyle w:val="Heading1"/>
        <w:numPr>
          <w:ilvl w:val="0"/>
          <w:numId w:val="6"/>
        </w:numPr>
        <w:spacing w:line="240" w:lineRule="auto"/>
        <w:ind w:left="426" w:hanging="426"/>
      </w:pPr>
      <w:r w:rsidRPr="005001FA">
        <w:t>Christmas Tree Lights</w:t>
      </w:r>
    </w:p>
    <w:p w14:paraId="2AD699A7" w14:textId="77777777" w:rsidR="005001FA" w:rsidRPr="005001FA" w:rsidRDefault="005001FA" w:rsidP="005001FA">
      <w:pPr>
        <w:numPr>
          <w:ilvl w:val="0"/>
          <w:numId w:val="14"/>
        </w:numPr>
        <w:jc w:val="left"/>
      </w:pPr>
      <w:r w:rsidRPr="005001FA">
        <w:rPr>
          <w:b/>
          <w:bCs/>
        </w:rPr>
        <w:t>Type of Lights</w:t>
      </w:r>
      <w:r w:rsidRPr="005001FA">
        <w:t xml:space="preserve">: Decorative lights should be of the </w:t>
      </w:r>
      <w:r w:rsidRPr="005001FA">
        <w:rPr>
          <w:b/>
          <w:bCs/>
        </w:rPr>
        <w:t>LED</w:t>
      </w:r>
      <w:r w:rsidRPr="005001FA">
        <w:t xml:space="preserve"> type, powered by batteries or a mains transformer, to reduce fire risk.</w:t>
      </w:r>
    </w:p>
    <w:p w14:paraId="05D15837" w14:textId="77777777" w:rsidR="005001FA" w:rsidRPr="005001FA" w:rsidRDefault="005001FA" w:rsidP="005001FA">
      <w:pPr>
        <w:numPr>
          <w:ilvl w:val="0"/>
          <w:numId w:val="14"/>
        </w:numPr>
        <w:jc w:val="left"/>
      </w:pPr>
      <w:r w:rsidRPr="005001FA">
        <w:rPr>
          <w:b/>
          <w:bCs/>
        </w:rPr>
        <w:t>Inspection</w:t>
      </w:r>
      <w:r w:rsidRPr="005001FA">
        <w:t>: Check all lights and cables for any physical damage before use.</w:t>
      </w:r>
    </w:p>
    <w:p w14:paraId="4B31E077" w14:textId="77777777" w:rsidR="005001FA" w:rsidRPr="005001FA" w:rsidRDefault="005001FA" w:rsidP="005001FA">
      <w:pPr>
        <w:numPr>
          <w:ilvl w:val="0"/>
          <w:numId w:val="14"/>
        </w:numPr>
        <w:jc w:val="left"/>
      </w:pPr>
      <w:r w:rsidRPr="005001FA">
        <w:rPr>
          <w:b/>
          <w:bCs/>
        </w:rPr>
        <w:t>Mains-powered lights</w:t>
      </w:r>
      <w:r w:rsidRPr="005001FA">
        <w:t xml:space="preserve"> should only be used if:</w:t>
      </w:r>
    </w:p>
    <w:p w14:paraId="537D0EB2" w14:textId="77777777" w:rsidR="005001FA" w:rsidRPr="005001FA" w:rsidRDefault="005001FA" w:rsidP="005001FA">
      <w:pPr>
        <w:numPr>
          <w:ilvl w:val="1"/>
          <w:numId w:val="14"/>
        </w:numPr>
        <w:jc w:val="left"/>
      </w:pPr>
      <w:r w:rsidRPr="005001FA">
        <w:t>They are plugged into a local socket (avoid using extension cables).</w:t>
      </w:r>
    </w:p>
    <w:p w14:paraId="7FA997DB" w14:textId="77777777" w:rsidR="005001FA" w:rsidRPr="005001FA" w:rsidRDefault="005001FA" w:rsidP="005001FA">
      <w:pPr>
        <w:numPr>
          <w:ilvl w:val="1"/>
          <w:numId w:val="14"/>
        </w:numPr>
        <w:jc w:val="left"/>
      </w:pPr>
      <w:r w:rsidRPr="005001FA">
        <w:t xml:space="preserve">They are under a year old or have passed a recent </w:t>
      </w:r>
      <w:r w:rsidRPr="005001FA">
        <w:rPr>
          <w:b/>
          <w:bCs/>
        </w:rPr>
        <w:t>Portable Appliance Test (PAT)</w:t>
      </w:r>
      <w:r w:rsidRPr="005001FA">
        <w:t>.</w:t>
      </w:r>
    </w:p>
    <w:p w14:paraId="28339A8E" w14:textId="77777777" w:rsidR="005001FA" w:rsidRPr="005001FA" w:rsidRDefault="005001FA" w:rsidP="005001FA">
      <w:pPr>
        <w:numPr>
          <w:ilvl w:val="1"/>
          <w:numId w:val="14"/>
        </w:numPr>
        <w:jc w:val="left"/>
      </w:pPr>
      <w:r w:rsidRPr="005001FA">
        <w:t>Lights must not be left on outside of normal working hours.</w:t>
      </w:r>
    </w:p>
    <w:p w14:paraId="5EBD05F0" w14:textId="62F38C60" w:rsidR="005001FA" w:rsidRPr="005001FA" w:rsidRDefault="005001FA" w:rsidP="005001FA">
      <w:pPr>
        <w:pStyle w:val="Heading1"/>
        <w:numPr>
          <w:ilvl w:val="0"/>
          <w:numId w:val="6"/>
        </w:numPr>
        <w:spacing w:line="240" w:lineRule="auto"/>
        <w:ind w:left="426" w:hanging="426"/>
      </w:pPr>
      <w:r w:rsidRPr="005001FA">
        <w:t>Christmas Decorations</w:t>
      </w:r>
    </w:p>
    <w:p w14:paraId="1499A58D" w14:textId="77777777" w:rsidR="005001FA" w:rsidRPr="005001FA" w:rsidRDefault="005001FA" w:rsidP="005001FA">
      <w:pPr>
        <w:jc w:val="left"/>
      </w:pPr>
      <w:r w:rsidRPr="005001FA">
        <w:t>Temporary lighting and poorly placed decorations pose significant fire risks, especially during festive activities. Decorations should be used sparingly, and certain safety precautions must be followed:</w:t>
      </w:r>
    </w:p>
    <w:p w14:paraId="6570D222" w14:textId="77777777" w:rsidR="005001FA" w:rsidRPr="005001FA" w:rsidRDefault="005001FA" w:rsidP="005001FA">
      <w:pPr>
        <w:numPr>
          <w:ilvl w:val="0"/>
          <w:numId w:val="15"/>
        </w:numPr>
        <w:jc w:val="left"/>
      </w:pPr>
      <w:r w:rsidRPr="005001FA">
        <w:t xml:space="preserve">Decorations must not be fastened near or directly on </w:t>
      </w:r>
      <w:r w:rsidRPr="005001FA">
        <w:rPr>
          <w:b/>
          <w:bCs/>
        </w:rPr>
        <w:t>light fittings</w:t>
      </w:r>
      <w:r w:rsidRPr="005001FA">
        <w:t xml:space="preserve">, </w:t>
      </w:r>
      <w:r w:rsidRPr="005001FA">
        <w:rPr>
          <w:b/>
          <w:bCs/>
        </w:rPr>
        <w:t>electrical equipment</w:t>
      </w:r>
      <w:r w:rsidRPr="005001FA">
        <w:t xml:space="preserve">, or any </w:t>
      </w:r>
      <w:r w:rsidRPr="005001FA">
        <w:rPr>
          <w:b/>
          <w:bCs/>
        </w:rPr>
        <w:t>potential ignition sources</w:t>
      </w:r>
      <w:r w:rsidRPr="005001FA">
        <w:t>.</w:t>
      </w:r>
    </w:p>
    <w:p w14:paraId="343A603B" w14:textId="77777777" w:rsidR="005001FA" w:rsidRPr="005001FA" w:rsidRDefault="005001FA" w:rsidP="005001FA">
      <w:pPr>
        <w:numPr>
          <w:ilvl w:val="0"/>
          <w:numId w:val="15"/>
        </w:numPr>
        <w:jc w:val="left"/>
      </w:pPr>
      <w:r w:rsidRPr="005001FA">
        <w:rPr>
          <w:b/>
          <w:bCs/>
        </w:rPr>
        <w:t>Metal strip decorations</w:t>
      </w:r>
      <w:r w:rsidRPr="005001FA">
        <w:t xml:space="preserve"> should be avoided near electrical fittings, as they may conduct electricity and increase fire risks.</w:t>
      </w:r>
    </w:p>
    <w:p w14:paraId="3E8A9744" w14:textId="77777777" w:rsidR="005001FA" w:rsidRPr="005001FA" w:rsidRDefault="005001FA" w:rsidP="005001FA">
      <w:pPr>
        <w:numPr>
          <w:ilvl w:val="0"/>
          <w:numId w:val="15"/>
        </w:numPr>
        <w:jc w:val="left"/>
      </w:pPr>
      <w:r w:rsidRPr="005001FA">
        <w:t xml:space="preserve">Ensure decorations do not obstruct </w:t>
      </w:r>
      <w:r w:rsidRPr="005001FA">
        <w:rPr>
          <w:b/>
          <w:bCs/>
        </w:rPr>
        <w:t>emergency exits</w:t>
      </w:r>
      <w:r w:rsidRPr="005001FA">
        <w:t xml:space="preserve"> or escape routes.</w:t>
      </w:r>
    </w:p>
    <w:p w14:paraId="65D9F1C1" w14:textId="347821D2" w:rsidR="005001FA" w:rsidRPr="005001FA" w:rsidRDefault="005001FA" w:rsidP="005001FA">
      <w:pPr>
        <w:pStyle w:val="Heading1"/>
        <w:numPr>
          <w:ilvl w:val="0"/>
          <w:numId w:val="6"/>
        </w:numPr>
        <w:spacing w:line="240" w:lineRule="auto"/>
        <w:ind w:left="426" w:hanging="426"/>
      </w:pPr>
      <w:r w:rsidRPr="005001FA">
        <w:t>Candles and Tea-light</w:t>
      </w:r>
    </w:p>
    <w:p w14:paraId="6663E3A3" w14:textId="35039419" w:rsidR="00C26CBC" w:rsidRPr="005001FA" w:rsidRDefault="005001FA" w:rsidP="00C26CBC">
      <w:pPr>
        <w:jc w:val="left"/>
      </w:pPr>
      <w:r w:rsidRPr="005001FA">
        <w:t xml:space="preserve">The use of </w:t>
      </w:r>
      <w:r w:rsidRPr="005001FA">
        <w:rPr>
          <w:b/>
          <w:bCs/>
        </w:rPr>
        <w:t>naked flame candles or tea-lights</w:t>
      </w:r>
      <w:r w:rsidRPr="005001FA">
        <w:t xml:space="preserve"> is strictly prohibited due to the significant fire risks they present. However, </w:t>
      </w:r>
      <w:r w:rsidRPr="005001FA">
        <w:rPr>
          <w:b/>
          <w:bCs/>
        </w:rPr>
        <w:t>battery-operated candles</w:t>
      </w:r>
      <w:r w:rsidRPr="005001FA">
        <w:t xml:space="preserve"> and </w:t>
      </w:r>
      <w:r w:rsidRPr="005001FA">
        <w:rPr>
          <w:b/>
          <w:bCs/>
        </w:rPr>
        <w:t>tea-lights</w:t>
      </w:r>
      <w:r w:rsidRPr="005001FA">
        <w:t xml:space="preserve"> are permitted as a safe alternative.</w:t>
      </w:r>
    </w:p>
    <w:p w14:paraId="5CEBD230" w14:textId="77777777" w:rsidR="005001FA" w:rsidRPr="005001FA" w:rsidRDefault="005001FA" w:rsidP="00C26CBC">
      <w:pPr>
        <w:pStyle w:val="Heading1"/>
        <w:numPr>
          <w:ilvl w:val="0"/>
          <w:numId w:val="6"/>
        </w:numPr>
        <w:spacing w:line="240" w:lineRule="auto"/>
        <w:ind w:left="426" w:hanging="426"/>
      </w:pPr>
      <w:r w:rsidRPr="005001FA">
        <w:t>Conclusion</w:t>
      </w:r>
    </w:p>
    <w:p w14:paraId="5DEB605D" w14:textId="77777777" w:rsidR="005001FA" w:rsidRPr="005001FA" w:rsidRDefault="005001FA" w:rsidP="005001FA">
      <w:pPr>
        <w:jc w:val="left"/>
      </w:pPr>
      <w:r w:rsidRPr="005001FA">
        <w:t>Maintaining fire safety during the festive season is essential for protecting the wellbeing of all staff, students, and building occupants. Following these guidelines will ensure that festive decorations and activities can be enjoyed safely, without compromising the university's fire safety standards.</w:t>
      </w:r>
    </w:p>
    <w:p w14:paraId="0A582D33" w14:textId="77777777" w:rsidR="005001FA" w:rsidRDefault="005001FA" w:rsidP="005001FA">
      <w:pPr>
        <w:jc w:val="left"/>
      </w:pPr>
    </w:p>
    <w:sectPr w:rsidR="005001FA" w:rsidSect="004B2740">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D7F08" w14:textId="77777777" w:rsidR="004320A4" w:rsidRDefault="004320A4" w:rsidP="0066208B">
      <w:pPr>
        <w:spacing w:after="0" w:line="240" w:lineRule="auto"/>
      </w:pPr>
      <w:r>
        <w:separator/>
      </w:r>
    </w:p>
  </w:endnote>
  <w:endnote w:type="continuationSeparator" w:id="0">
    <w:p w14:paraId="53237BAB" w14:textId="77777777" w:rsidR="004320A4" w:rsidRDefault="004320A4" w:rsidP="0066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A55D5" w14:textId="77777777" w:rsidR="00323F5F" w:rsidRDefault="00323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6626"/>
      <w:docPartObj>
        <w:docPartGallery w:val="Page Numbers (Bottom of Page)"/>
        <w:docPartUnique/>
      </w:docPartObj>
    </w:sdtPr>
    <w:sdtEndPr>
      <w:rPr>
        <w:noProof/>
      </w:rPr>
    </w:sdtEndPr>
    <w:sdtContent>
      <w:p w14:paraId="6B8ECBFD" w14:textId="5B4EFD10" w:rsidR="0066208B" w:rsidRDefault="006620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tbl>
    <w:tblPr>
      <w:tblStyle w:val="TableGrid"/>
      <w:tblpPr w:vertAnchor="page" w:horzAnchor="page" w:tblpX="19" w:tblpY="16498"/>
      <w:tblOverlap w:val="never"/>
      <w:tblW w:w="11887" w:type="dxa"/>
      <w:tblInd w:w="0" w:type="dxa"/>
      <w:tblCellMar>
        <w:top w:w="40" w:type="dxa"/>
        <w:left w:w="701" w:type="dxa"/>
        <w:right w:w="115" w:type="dxa"/>
      </w:tblCellMar>
      <w:tblLook w:val="04A0" w:firstRow="1" w:lastRow="0" w:firstColumn="1" w:lastColumn="0" w:noHBand="0" w:noVBand="1"/>
    </w:tblPr>
    <w:tblGrid>
      <w:gridCol w:w="11887"/>
    </w:tblGrid>
    <w:tr w:rsidR="0066208B" w14:paraId="55754147" w14:textId="77777777" w:rsidTr="00ED378F">
      <w:trPr>
        <w:trHeight w:val="340"/>
      </w:trPr>
      <w:tc>
        <w:tcPr>
          <w:tcW w:w="11887" w:type="dxa"/>
          <w:tcBorders>
            <w:top w:val="nil"/>
            <w:left w:val="nil"/>
            <w:bottom w:val="nil"/>
            <w:right w:val="nil"/>
          </w:tcBorders>
          <w:shd w:val="clear" w:color="auto" w:fill="930949"/>
        </w:tcPr>
        <w:p w14:paraId="2CABCA1B" w14:textId="77777777" w:rsidR="0066208B" w:rsidRDefault="0066208B" w:rsidP="0066208B">
          <w:pPr>
            <w:spacing w:after="0" w:line="259" w:lineRule="auto"/>
            <w:ind w:left="0" w:firstLine="0"/>
            <w:jc w:val="left"/>
          </w:pPr>
        </w:p>
      </w:tc>
    </w:tr>
  </w:tbl>
  <w:p w14:paraId="67B0EF88" w14:textId="77777777" w:rsidR="0066208B" w:rsidRDefault="00662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CC60C" w14:textId="77777777" w:rsidR="00323F5F" w:rsidRDefault="00323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00EEA" w14:textId="77777777" w:rsidR="004320A4" w:rsidRDefault="004320A4" w:rsidP="0066208B">
      <w:pPr>
        <w:spacing w:after="0" w:line="240" w:lineRule="auto"/>
      </w:pPr>
      <w:r>
        <w:separator/>
      </w:r>
    </w:p>
  </w:footnote>
  <w:footnote w:type="continuationSeparator" w:id="0">
    <w:p w14:paraId="2CD65EE5" w14:textId="77777777" w:rsidR="004320A4" w:rsidRDefault="004320A4" w:rsidP="00662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65554" w14:textId="77777777" w:rsidR="00323F5F" w:rsidRDefault="00323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31E1F" w14:textId="6AC31D53" w:rsidR="0066208B" w:rsidRDefault="0066208B">
    <w:pPr>
      <w:pStyle w:val="Header"/>
    </w:pPr>
    <w:r>
      <w:rPr>
        <w:noProof/>
      </w:rPr>
      <w:drawing>
        <wp:anchor distT="0" distB="0" distL="114300" distR="114300" simplePos="0" relativeHeight="251659264" behindDoc="0" locked="0" layoutInCell="1" allowOverlap="0" wp14:anchorId="5A48E8F2" wp14:editId="6B725BC1">
          <wp:simplePos x="0" y="0"/>
          <wp:positionH relativeFrom="margin">
            <wp:posOffset>-542925</wp:posOffset>
          </wp:positionH>
          <wp:positionV relativeFrom="page">
            <wp:posOffset>133350</wp:posOffset>
          </wp:positionV>
          <wp:extent cx="1495425" cy="419100"/>
          <wp:effectExtent l="0" t="0" r="9525" b="0"/>
          <wp:wrapSquare wrapText="bothSides"/>
          <wp:docPr id="2128011624" name="Picture 2128011624" descr="A black background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853997498" name="Picture 853997498" descr="A black background with text&#10;&#10;Description automatically generated"/>
                  <pic:cNvPicPr/>
                </pic:nvPicPr>
                <pic:blipFill>
                  <a:blip r:embed="rId1"/>
                  <a:stretch>
                    <a:fillRect/>
                  </a:stretch>
                </pic:blipFill>
                <pic:spPr>
                  <a:xfrm>
                    <a:off x="0" y="0"/>
                    <a:ext cx="1495425" cy="4191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154" w:type="dxa"/>
      <w:tblInd w:w="-570" w:type="dxa"/>
      <w:tblLayout w:type="fixed"/>
      <w:tblCellMar>
        <w:top w:w="44" w:type="dxa"/>
        <w:left w:w="107" w:type="dxa"/>
        <w:right w:w="103" w:type="dxa"/>
      </w:tblCellMar>
      <w:tblLook w:val="04A0" w:firstRow="1" w:lastRow="0" w:firstColumn="1" w:lastColumn="0" w:noHBand="0" w:noVBand="1"/>
    </w:tblPr>
    <w:tblGrid>
      <w:gridCol w:w="1407"/>
      <w:gridCol w:w="3786"/>
      <w:gridCol w:w="709"/>
      <w:gridCol w:w="1559"/>
      <w:gridCol w:w="1276"/>
      <w:gridCol w:w="1417"/>
    </w:tblGrid>
    <w:tr w:rsidR="001F3B21" w14:paraId="10A89439" w14:textId="77777777" w:rsidTr="005B5E84">
      <w:trPr>
        <w:trHeight w:val="341"/>
      </w:trPr>
      <w:tc>
        <w:tcPr>
          <w:tcW w:w="1407" w:type="dxa"/>
          <w:tcBorders>
            <w:top w:val="single" w:sz="4" w:space="0" w:color="000000"/>
            <w:left w:val="single" w:sz="4" w:space="0" w:color="000000"/>
            <w:bottom w:val="single" w:sz="4" w:space="0" w:color="000000"/>
            <w:right w:val="single" w:sz="4" w:space="0" w:color="000000"/>
          </w:tcBorders>
          <w:shd w:val="clear" w:color="auto" w:fill="A80050"/>
        </w:tcPr>
        <w:p w14:paraId="75502B94" w14:textId="77777777" w:rsidR="001F3B21" w:rsidRPr="005F3541" w:rsidRDefault="001F3B21" w:rsidP="001F3B21">
          <w:pPr>
            <w:spacing w:after="0" w:line="259" w:lineRule="auto"/>
            <w:ind w:left="0" w:firstLine="0"/>
            <w:jc w:val="left"/>
            <w:rPr>
              <w:b/>
              <w:bCs/>
            </w:rPr>
          </w:pPr>
          <w:r w:rsidRPr="005F3541">
            <w:rPr>
              <w:b/>
              <w:bCs/>
              <w:color w:val="FFFFFF" w:themeColor="background1"/>
            </w:rPr>
            <w:t>Unit</w:t>
          </w:r>
        </w:p>
      </w:tc>
      <w:tc>
        <w:tcPr>
          <w:tcW w:w="8747" w:type="dxa"/>
          <w:gridSpan w:val="5"/>
          <w:tcBorders>
            <w:top w:val="single" w:sz="4" w:space="0" w:color="000000"/>
            <w:left w:val="single" w:sz="4" w:space="0" w:color="000000"/>
            <w:bottom w:val="single" w:sz="4" w:space="0" w:color="000000"/>
            <w:right w:val="single" w:sz="4" w:space="0" w:color="000000"/>
          </w:tcBorders>
        </w:tcPr>
        <w:p w14:paraId="1FA4CF11" w14:textId="77777777" w:rsidR="001F3B21" w:rsidRPr="00AA55B9" w:rsidRDefault="001F3B21" w:rsidP="001F3B21">
          <w:pPr>
            <w:spacing w:after="0" w:line="259" w:lineRule="auto"/>
            <w:ind w:left="2" w:firstLine="0"/>
            <w:jc w:val="left"/>
            <w:rPr>
              <w:b/>
              <w:bCs/>
            </w:rPr>
          </w:pPr>
          <w:r w:rsidRPr="00AA55B9">
            <w:rPr>
              <w:b/>
              <w:bCs/>
            </w:rPr>
            <w:t>Buildings &amp; Estates, University of Galway</w:t>
          </w:r>
          <w:r>
            <w:rPr>
              <w:b/>
              <w:bCs/>
            </w:rPr>
            <w:t xml:space="preserve">, </w:t>
          </w:r>
          <w:r w:rsidRPr="00AA55B9">
            <w:rPr>
              <w:b/>
              <w:bCs/>
            </w:rPr>
            <w:t xml:space="preserve">Policies &amp; Procedures  </w:t>
          </w:r>
        </w:p>
      </w:tc>
    </w:tr>
    <w:tr w:rsidR="001F3B21" w14:paraId="04F7D3B3" w14:textId="77777777" w:rsidTr="005B5E84">
      <w:trPr>
        <w:trHeight w:val="278"/>
      </w:trPr>
      <w:tc>
        <w:tcPr>
          <w:tcW w:w="1407" w:type="dxa"/>
          <w:tcBorders>
            <w:top w:val="single" w:sz="4" w:space="0" w:color="000000"/>
            <w:left w:val="single" w:sz="4" w:space="0" w:color="000000"/>
            <w:bottom w:val="single" w:sz="4" w:space="0" w:color="000000"/>
            <w:right w:val="single" w:sz="4" w:space="0" w:color="000000"/>
          </w:tcBorders>
          <w:shd w:val="clear" w:color="auto" w:fill="A80050"/>
        </w:tcPr>
        <w:p w14:paraId="2E4B0867" w14:textId="77777777" w:rsidR="001F3B21" w:rsidRDefault="001F3B21" w:rsidP="001F3B21">
          <w:pPr>
            <w:spacing w:after="0" w:line="259" w:lineRule="auto"/>
            <w:ind w:left="0" w:firstLine="0"/>
            <w:jc w:val="left"/>
          </w:pPr>
          <w:r>
            <w:rPr>
              <w:b/>
              <w:color w:val="FFFFFF"/>
            </w:rPr>
            <w:t xml:space="preserve">Title </w:t>
          </w:r>
        </w:p>
      </w:tc>
      <w:tc>
        <w:tcPr>
          <w:tcW w:w="6054" w:type="dxa"/>
          <w:gridSpan w:val="3"/>
          <w:tcBorders>
            <w:top w:val="single" w:sz="4" w:space="0" w:color="000000"/>
            <w:left w:val="single" w:sz="4" w:space="0" w:color="000000"/>
            <w:bottom w:val="single" w:sz="4" w:space="0" w:color="000000"/>
            <w:right w:val="single" w:sz="4" w:space="0" w:color="000000"/>
          </w:tcBorders>
        </w:tcPr>
        <w:p w14:paraId="0F8E2C04" w14:textId="77777777" w:rsidR="001F3B21" w:rsidRDefault="001F3B21" w:rsidP="001F3B21">
          <w:pPr>
            <w:spacing w:after="0" w:line="259" w:lineRule="auto"/>
            <w:ind w:left="2" w:firstLine="0"/>
            <w:jc w:val="left"/>
          </w:pPr>
          <w:r>
            <w:t xml:space="preserve">Fire Safety at Christmas  </w:t>
          </w:r>
        </w:p>
      </w:tc>
      <w:tc>
        <w:tcPr>
          <w:tcW w:w="1276" w:type="dxa"/>
          <w:tcBorders>
            <w:top w:val="single" w:sz="4" w:space="0" w:color="000000"/>
            <w:left w:val="single" w:sz="4" w:space="0" w:color="000000"/>
            <w:bottom w:val="single" w:sz="4" w:space="0" w:color="000000"/>
            <w:right w:val="single" w:sz="4" w:space="0" w:color="000000"/>
          </w:tcBorders>
          <w:shd w:val="clear" w:color="auto" w:fill="A80050"/>
        </w:tcPr>
        <w:p w14:paraId="5C3B4BB3" w14:textId="77777777" w:rsidR="001F3B21" w:rsidRPr="00A618E1" w:rsidRDefault="001F3B21" w:rsidP="001F3B21">
          <w:pPr>
            <w:spacing w:after="0" w:line="259" w:lineRule="auto"/>
            <w:ind w:left="2" w:firstLine="0"/>
            <w:jc w:val="left"/>
            <w:rPr>
              <w:b/>
              <w:bCs/>
              <w:color w:val="FFFFFF" w:themeColor="background1"/>
            </w:rPr>
          </w:pPr>
          <w:r>
            <w:rPr>
              <w:b/>
              <w:bCs/>
              <w:color w:val="FFFFFF" w:themeColor="background1"/>
            </w:rPr>
            <w:t>Issued by</w:t>
          </w:r>
        </w:p>
      </w:tc>
      <w:tc>
        <w:tcPr>
          <w:tcW w:w="1417" w:type="dxa"/>
          <w:tcBorders>
            <w:top w:val="single" w:sz="4" w:space="0" w:color="000000"/>
            <w:left w:val="single" w:sz="4" w:space="0" w:color="000000"/>
            <w:bottom w:val="single" w:sz="4" w:space="0" w:color="000000"/>
            <w:right w:val="single" w:sz="4" w:space="0" w:color="000000"/>
          </w:tcBorders>
        </w:tcPr>
        <w:p w14:paraId="69D3FF58" w14:textId="744DEBB1" w:rsidR="001F3B21" w:rsidRPr="00F80072" w:rsidRDefault="001F3B21" w:rsidP="001F3B21">
          <w:pPr>
            <w:spacing w:after="0" w:line="259" w:lineRule="auto"/>
            <w:ind w:left="2" w:firstLine="0"/>
            <w:jc w:val="left"/>
          </w:pPr>
          <w:r>
            <w:t>BSE</w:t>
          </w:r>
        </w:p>
      </w:tc>
    </w:tr>
    <w:tr w:rsidR="001F3B21" w14:paraId="6BDCCE79" w14:textId="77777777" w:rsidTr="005B5E84">
      <w:trPr>
        <w:trHeight w:val="322"/>
      </w:trPr>
      <w:tc>
        <w:tcPr>
          <w:tcW w:w="1407" w:type="dxa"/>
          <w:tcBorders>
            <w:top w:val="single" w:sz="4" w:space="0" w:color="000000"/>
            <w:left w:val="single" w:sz="4" w:space="0" w:color="000000"/>
            <w:bottom w:val="single" w:sz="4" w:space="0" w:color="000000"/>
            <w:right w:val="single" w:sz="4" w:space="0" w:color="000000"/>
          </w:tcBorders>
          <w:shd w:val="clear" w:color="auto" w:fill="A80050"/>
        </w:tcPr>
        <w:p w14:paraId="32812FC1" w14:textId="77777777" w:rsidR="001F3B21" w:rsidRPr="00E84DF8" w:rsidRDefault="001F3B21" w:rsidP="001F3B21">
          <w:pPr>
            <w:spacing w:after="0" w:line="259" w:lineRule="auto"/>
            <w:ind w:left="0" w:firstLine="0"/>
            <w:jc w:val="left"/>
            <w:rPr>
              <w:strike/>
              <w:color w:val="FFFF00"/>
            </w:rPr>
          </w:pPr>
          <w:r w:rsidRPr="00825C86">
            <w:rPr>
              <w:b/>
              <w:color w:val="auto"/>
            </w:rPr>
            <w:t>Category</w:t>
          </w:r>
        </w:p>
      </w:tc>
      <w:tc>
        <w:tcPr>
          <w:tcW w:w="3786" w:type="dxa"/>
          <w:tcBorders>
            <w:top w:val="single" w:sz="4" w:space="0" w:color="000000"/>
            <w:left w:val="single" w:sz="4" w:space="0" w:color="000000"/>
            <w:bottom w:val="single" w:sz="4" w:space="0" w:color="000000"/>
            <w:right w:val="single" w:sz="4" w:space="0" w:color="000000"/>
          </w:tcBorders>
        </w:tcPr>
        <w:p w14:paraId="2111BBA8" w14:textId="77777777" w:rsidR="001F3B21" w:rsidRPr="00F80072" w:rsidRDefault="001F3B21" w:rsidP="001F3B21">
          <w:pPr>
            <w:spacing w:after="0" w:line="259" w:lineRule="auto"/>
            <w:ind w:left="2" w:firstLine="0"/>
            <w:jc w:val="left"/>
          </w:pPr>
          <w:r>
            <w:t>Fire Safety</w:t>
          </w:r>
        </w:p>
      </w:tc>
      <w:tc>
        <w:tcPr>
          <w:tcW w:w="709" w:type="dxa"/>
          <w:tcBorders>
            <w:top w:val="single" w:sz="4" w:space="0" w:color="000000"/>
            <w:left w:val="single" w:sz="4" w:space="0" w:color="000000"/>
            <w:bottom w:val="single" w:sz="4" w:space="0" w:color="auto"/>
            <w:right w:val="single" w:sz="4" w:space="0" w:color="000000"/>
          </w:tcBorders>
          <w:shd w:val="clear" w:color="auto" w:fill="A80050"/>
        </w:tcPr>
        <w:p w14:paraId="4058ECE1" w14:textId="77777777" w:rsidR="001F3B21" w:rsidRPr="001D21E0" w:rsidRDefault="001F3B21" w:rsidP="001F3B21">
          <w:pPr>
            <w:spacing w:after="0" w:line="259" w:lineRule="auto"/>
            <w:ind w:left="0" w:firstLine="0"/>
            <w:jc w:val="left"/>
            <w:rPr>
              <w:b/>
              <w:bCs/>
            </w:rPr>
          </w:pPr>
          <w:r>
            <w:rPr>
              <w:b/>
              <w:bCs/>
              <w:color w:val="FFFFFF" w:themeColor="background1"/>
            </w:rPr>
            <w:t>Code</w:t>
          </w:r>
        </w:p>
      </w:tc>
      <w:tc>
        <w:tcPr>
          <w:tcW w:w="1559" w:type="dxa"/>
          <w:tcBorders>
            <w:top w:val="single" w:sz="4" w:space="0" w:color="000000"/>
            <w:left w:val="single" w:sz="4" w:space="0" w:color="000000"/>
            <w:bottom w:val="single" w:sz="4" w:space="0" w:color="auto"/>
            <w:right w:val="single" w:sz="4" w:space="0" w:color="000000"/>
          </w:tcBorders>
        </w:tcPr>
        <w:p w14:paraId="2E844D34" w14:textId="409D49AC" w:rsidR="001F3B21" w:rsidRPr="007B33D1" w:rsidRDefault="001F3B21" w:rsidP="001F3B21">
          <w:pPr>
            <w:spacing w:after="0" w:line="259" w:lineRule="auto"/>
            <w:ind w:left="2" w:firstLine="0"/>
            <w:jc w:val="left"/>
          </w:pPr>
          <w:r>
            <w:t>BSEOP</w:t>
          </w:r>
          <w:r w:rsidR="00323F5F">
            <w:t>-0</w:t>
          </w:r>
          <w:r w:rsidR="00C76A0B">
            <w:t>5</w:t>
          </w:r>
        </w:p>
      </w:tc>
      <w:tc>
        <w:tcPr>
          <w:tcW w:w="1276" w:type="dxa"/>
          <w:tcBorders>
            <w:top w:val="single" w:sz="4" w:space="0" w:color="000000"/>
            <w:left w:val="single" w:sz="4" w:space="0" w:color="000000"/>
            <w:bottom w:val="single" w:sz="4" w:space="0" w:color="auto"/>
            <w:right w:val="single" w:sz="4" w:space="0" w:color="000000"/>
          </w:tcBorders>
          <w:shd w:val="clear" w:color="auto" w:fill="A80050"/>
        </w:tcPr>
        <w:p w14:paraId="24929916" w14:textId="77777777" w:rsidR="001F3B21" w:rsidRPr="00F80072" w:rsidRDefault="001F3B21" w:rsidP="001F3B21">
          <w:pPr>
            <w:spacing w:after="0" w:line="259" w:lineRule="auto"/>
            <w:ind w:left="2" w:firstLine="0"/>
            <w:jc w:val="left"/>
            <w:rPr>
              <w:b/>
              <w:bCs/>
              <w:color w:val="FFFFFF" w:themeColor="background1"/>
            </w:rPr>
          </w:pPr>
          <w:r>
            <w:rPr>
              <w:b/>
              <w:bCs/>
              <w:color w:val="FFFFFF" w:themeColor="background1"/>
            </w:rPr>
            <w:t>Revision</w:t>
          </w:r>
        </w:p>
      </w:tc>
      <w:tc>
        <w:tcPr>
          <w:tcW w:w="1417" w:type="dxa"/>
          <w:tcBorders>
            <w:top w:val="single" w:sz="4" w:space="0" w:color="000000"/>
            <w:left w:val="single" w:sz="4" w:space="0" w:color="000000"/>
            <w:bottom w:val="single" w:sz="4" w:space="0" w:color="auto"/>
            <w:right w:val="single" w:sz="4" w:space="0" w:color="000000"/>
          </w:tcBorders>
          <w:shd w:val="clear" w:color="auto" w:fill="auto"/>
        </w:tcPr>
        <w:p w14:paraId="2707A8A0" w14:textId="10E4EA9B" w:rsidR="001F3B21" w:rsidRPr="00F80072" w:rsidRDefault="001F3B21" w:rsidP="001F3B21">
          <w:pPr>
            <w:spacing w:after="0" w:line="259" w:lineRule="auto"/>
            <w:ind w:left="2" w:firstLine="0"/>
            <w:jc w:val="left"/>
            <w:rPr>
              <w:color w:val="FFFFFF" w:themeColor="background1"/>
            </w:rPr>
          </w:pPr>
          <w:r>
            <w:t>0</w:t>
          </w:r>
        </w:p>
      </w:tc>
    </w:tr>
    <w:tr w:rsidR="001F3B21" w14:paraId="35CF01BA" w14:textId="77777777" w:rsidTr="005B5E84">
      <w:trPr>
        <w:trHeight w:val="380"/>
      </w:trPr>
      <w:tc>
        <w:tcPr>
          <w:tcW w:w="1407" w:type="dxa"/>
          <w:tcBorders>
            <w:top w:val="single" w:sz="4" w:space="0" w:color="auto"/>
            <w:left w:val="single" w:sz="4" w:space="0" w:color="000000"/>
            <w:bottom w:val="single" w:sz="4" w:space="0" w:color="000000"/>
            <w:right w:val="single" w:sz="4" w:space="0" w:color="000000"/>
          </w:tcBorders>
          <w:shd w:val="clear" w:color="auto" w:fill="A80050"/>
        </w:tcPr>
        <w:p w14:paraId="10E9FBAF" w14:textId="77777777" w:rsidR="001F3B21" w:rsidRDefault="001F3B21" w:rsidP="001F3B21">
          <w:pPr>
            <w:spacing w:after="0" w:line="259" w:lineRule="auto"/>
            <w:ind w:left="0" w:firstLine="0"/>
            <w:jc w:val="left"/>
          </w:pPr>
          <w:r>
            <w:rPr>
              <w:b/>
              <w:color w:val="FFFFFF"/>
            </w:rPr>
            <w:t>Approved by</w:t>
          </w:r>
        </w:p>
      </w:tc>
      <w:tc>
        <w:tcPr>
          <w:tcW w:w="3786" w:type="dxa"/>
          <w:tcBorders>
            <w:top w:val="single" w:sz="4" w:space="0" w:color="auto"/>
            <w:left w:val="single" w:sz="4" w:space="0" w:color="000000"/>
            <w:bottom w:val="single" w:sz="4" w:space="0" w:color="000000"/>
            <w:right w:val="single" w:sz="4" w:space="0" w:color="000000"/>
          </w:tcBorders>
        </w:tcPr>
        <w:p w14:paraId="7B6928A2" w14:textId="77777777" w:rsidR="001F3B21" w:rsidRPr="00F80072" w:rsidRDefault="001F3B21" w:rsidP="001F3B21">
          <w:pPr>
            <w:spacing w:after="0" w:line="259" w:lineRule="auto"/>
            <w:ind w:left="2" w:firstLine="0"/>
            <w:jc w:val="left"/>
          </w:pPr>
          <w:r>
            <w:t xml:space="preserve">Director of Buildings and Estates </w:t>
          </w:r>
        </w:p>
      </w:tc>
      <w:tc>
        <w:tcPr>
          <w:tcW w:w="709" w:type="dxa"/>
          <w:tcBorders>
            <w:top w:val="single" w:sz="4" w:space="0" w:color="auto"/>
            <w:left w:val="single" w:sz="4" w:space="0" w:color="000000"/>
            <w:bottom w:val="single" w:sz="4" w:space="0" w:color="000000"/>
            <w:right w:val="single" w:sz="4" w:space="0" w:color="000000"/>
          </w:tcBorders>
          <w:shd w:val="clear" w:color="auto" w:fill="A80050"/>
        </w:tcPr>
        <w:p w14:paraId="0C48DAAC" w14:textId="77777777" w:rsidR="001F3B21" w:rsidRPr="00A618E1" w:rsidRDefault="001F3B21" w:rsidP="001F3B21">
          <w:pPr>
            <w:spacing w:after="0" w:line="259" w:lineRule="auto"/>
            <w:ind w:left="2" w:firstLine="0"/>
            <w:jc w:val="left"/>
            <w:rPr>
              <w:b/>
              <w:bCs/>
              <w:color w:val="FFFFFF" w:themeColor="background1"/>
            </w:rPr>
          </w:pPr>
          <w:r>
            <w:rPr>
              <w:b/>
              <w:bCs/>
              <w:color w:val="FFFFFF" w:themeColor="background1"/>
            </w:rPr>
            <w:t>Date</w:t>
          </w:r>
        </w:p>
      </w:tc>
      <w:tc>
        <w:tcPr>
          <w:tcW w:w="1559" w:type="dxa"/>
          <w:tcBorders>
            <w:top w:val="single" w:sz="4" w:space="0" w:color="auto"/>
            <w:left w:val="single" w:sz="4" w:space="0" w:color="000000"/>
            <w:bottom w:val="single" w:sz="4" w:space="0" w:color="000000"/>
            <w:right w:val="single" w:sz="4" w:space="0" w:color="000000"/>
          </w:tcBorders>
        </w:tcPr>
        <w:p w14:paraId="61F9A9DC" w14:textId="77777777" w:rsidR="001F3B21" w:rsidRDefault="001F3B21" w:rsidP="001F3B21">
          <w:pPr>
            <w:spacing w:after="0" w:line="259" w:lineRule="auto"/>
            <w:ind w:left="2" w:firstLine="0"/>
            <w:jc w:val="left"/>
          </w:pPr>
          <w:r>
            <w:t>26/09/2024</w:t>
          </w:r>
        </w:p>
      </w:tc>
      <w:tc>
        <w:tcPr>
          <w:tcW w:w="1276" w:type="dxa"/>
          <w:tcBorders>
            <w:top w:val="single" w:sz="4" w:space="0" w:color="auto"/>
            <w:left w:val="single" w:sz="4" w:space="0" w:color="000000"/>
            <w:bottom w:val="single" w:sz="4" w:space="0" w:color="000000"/>
            <w:right w:val="single" w:sz="4" w:space="0" w:color="000000"/>
          </w:tcBorders>
          <w:shd w:val="clear" w:color="auto" w:fill="A80050"/>
        </w:tcPr>
        <w:p w14:paraId="41F651A9" w14:textId="77777777" w:rsidR="001F3B21" w:rsidRPr="00F80072" w:rsidRDefault="001F3B21" w:rsidP="001F3B21">
          <w:pPr>
            <w:spacing w:after="0" w:line="259" w:lineRule="auto"/>
            <w:ind w:left="2" w:firstLine="0"/>
            <w:jc w:val="left"/>
            <w:rPr>
              <w:b/>
              <w:bCs/>
              <w:color w:val="FFFFFF" w:themeColor="background1"/>
            </w:rPr>
          </w:pPr>
          <w:r>
            <w:rPr>
              <w:b/>
              <w:bCs/>
              <w:color w:val="FFFFFF" w:themeColor="background1"/>
            </w:rPr>
            <w:t>Page</w:t>
          </w:r>
        </w:p>
      </w:tc>
      <w:tc>
        <w:tcPr>
          <w:tcW w:w="1417" w:type="dxa"/>
          <w:tcBorders>
            <w:top w:val="single" w:sz="4" w:space="0" w:color="auto"/>
            <w:left w:val="single" w:sz="4" w:space="0" w:color="000000"/>
            <w:bottom w:val="single" w:sz="4" w:space="0" w:color="000000"/>
            <w:right w:val="single" w:sz="4" w:space="0" w:color="000000"/>
          </w:tcBorders>
        </w:tcPr>
        <w:p w14:paraId="21A79A16" w14:textId="77777777" w:rsidR="001F3B21" w:rsidRDefault="001F3B21" w:rsidP="001F3B21">
          <w:pPr>
            <w:spacing w:after="0" w:line="259" w:lineRule="auto"/>
            <w:ind w:left="2" w:firstLine="0"/>
            <w:jc w:val="lef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bl>
  <w:p w14:paraId="436E30BA" w14:textId="77777777" w:rsidR="001F3B21" w:rsidRDefault="001F3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57CC6" w14:textId="77777777" w:rsidR="00323F5F" w:rsidRDefault="00323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47F1"/>
    <w:multiLevelType w:val="multilevel"/>
    <w:tmpl w:val="769C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E1AD3"/>
    <w:multiLevelType w:val="multilevel"/>
    <w:tmpl w:val="8A8E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A0AC0"/>
    <w:multiLevelType w:val="multilevel"/>
    <w:tmpl w:val="21A62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A3869"/>
    <w:multiLevelType w:val="multilevel"/>
    <w:tmpl w:val="883C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0C4B53"/>
    <w:multiLevelType w:val="multilevel"/>
    <w:tmpl w:val="D1C0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3F0F14"/>
    <w:multiLevelType w:val="multilevel"/>
    <w:tmpl w:val="687257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F472C7"/>
    <w:multiLevelType w:val="multilevel"/>
    <w:tmpl w:val="0B6A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23174E"/>
    <w:multiLevelType w:val="multilevel"/>
    <w:tmpl w:val="706A34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3D0D49"/>
    <w:multiLevelType w:val="hybridMultilevel"/>
    <w:tmpl w:val="92CAEF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A7C1673"/>
    <w:multiLevelType w:val="multilevel"/>
    <w:tmpl w:val="F718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C64EF2"/>
    <w:multiLevelType w:val="multilevel"/>
    <w:tmpl w:val="A0AA080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0D210F"/>
    <w:multiLevelType w:val="multilevel"/>
    <w:tmpl w:val="0218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DE11F2"/>
    <w:multiLevelType w:val="multilevel"/>
    <w:tmpl w:val="3266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FC5C0C"/>
    <w:multiLevelType w:val="multilevel"/>
    <w:tmpl w:val="A0AA080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EC4744"/>
    <w:multiLevelType w:val="multilevel"/>
    <w:tmpl w:val="5AB0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6319448">
    <w:abstractNumId w:val="14"/>
  </w:num>
  <w:num w:numId="2" w16cid:durableId="1535731643">
    <w:abstractNumId w:val="6"/>
  </w:num>
  <w:num w:numId="3" w16cid:durableId="1139568609">
    <w:abstractNumId w:val="5"/>
  </w:num>
  <w:num w:numId="4" w16cid:durableId="1719237933">
    <w:abstractNumId w:val="7"/>
  </w:num>
  <w:num w:numId="5" w16cid:durableId="746268934">
    <w:abstractNumId w:val="1"/>
  </w:num>
  <w:num w:numId="6" w16cid:durableId="1973099523">
    <w:abstractNumId w:val="8"/>
  </w:num>
  <w:num w:numId="7" w16cid:durableId="1924874439">
    <w:abstractNumId w:val="13"/>
  </w:num>
  <w:num w:numId="8" w16cid:durableId="1474717207">
    <w:abstractNumId w:val="10"/>
  </w:num>
  <w:num w:numId="9" w16cid:durableId="1660845428">
    <w:abstractNumId w:val="11"/>
  </w:num>
  <w:num w:numId="10" w16cid:durableId="626861955">
    <w:abstractNumId w:val="3"/>
  </w:num>
  <w:num w:numId="11" w16cid:durableId="338316361">
    <w:abstractNumId w:val="0"/>
  </w:num>
  <w:num w:numId="12" w16cid:durableId="597637655">
    <w:abstractNumId w:val="9"/>
  </w:num>
  <w:num w:numId="13" w16cid:durableId="1537893419">
    <w:abstractNumId w:val="4"/>
  </w:num>
  <w:num w:numId="14" w16cid:durableId="1357193053">
    <w:abstractNumId w:val="2"/>
  </w:num>
  <w:num w:numId="15" w16cid:durableId="20018839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8B"/>
    <w:rsid w:val="00130355"/>
    <w:rsid w:val="001F3B21"/>
    <w:rsid w:val="00222C17"/>
    <w:rsid w:val="00323F5F"/>
    <w:rsid w:val="004320A4"/>
    <w:rsid w:val="004A33FE"/>
    <w:rsid w:val="004B2740"/>
    <w:rsid w:val="004C6479"/>
    <w:rsid w:val="005001FA"/>
    <w:rsid w:val="0066208B"/>
    <w:rsid w:val="007F0A45"/>
    <w:rsid w:val="00977884"/>
    <w:rsid w:val="009B0229"/>
    <w:rsid w:val="00A37A4B"/>
    <w:rsid w:val="00A875DB"/>
    <w:rsid w:val="00AD2F51"/>
    <w:rsid w:val="00AF5235"/>
    <w:rsid w:val="00BF5DE9"/>
    <w:rsid w:val="00C26CBC"/>
    <w:rsid w:val="00C76A0B"/>
    <w:rsid w:val="00D260A5"/>
    <w:rsid w:val="00E75849"/>
    <w:rsid w:val="00E907F3"/>
    <w:rsid w:val="00E92E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AB33"/>
  <w15:chartTrackingRefBased/>
  <w15:docId w15:val="{3A9BE121-3BF8-44F3-9B3D-14817867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08B"/>
    <w:pPr>
      <w:spacing w:after="5" w:line="249" w:lineRule="auto"/>
      <w:ind w:left="10" w:hanging="10"/>
      <w:jc w:val="both"/>
    </w:pPr>
    <w:rPr>
      <w:rFonts w:ascii="Calibri" w:eastAsia="Calibri" w:hAnsi="Calibri" w:cs="Calibri"/>
      <w:color w:val="000000"/>
      <w:sz w:val="22"/>
      <w:lang w:eastAsia="en-IE"/>
    </w:rPr>
  </w:style>
  <w:style w:type="paragraph" w:styleId="Heading1">
    <w:name w:val="heading 1"/>
    <w:basedOn w:val="Normal"/>
    <w:next w:val="Normal"/>
    <w:link w:val="Heading1Char"/>
    <w:uiPriority w:val="9"/>
    <w:qFormat/>
    <w:rsid w:val="0066208B"/>
    <w:pPr>
      <w:keepNext/>
      <w:keepLines/>
      <w:spacing w:before="360" w:after="80" w:line="278" w:lineRule="auto"/>
      <w:ind w:left="0" w:firstLine="0"/>
      <w:jc w:val="left"/>
      <w:outlineLvl w:val="0"/>
    </w:pPr>
    <w:rPr>
      <w:rFonts w:eastAsiaTheme="majorEastAsia"/>
      <w:b/>
      <w:bCs/>
      <w:color w:val="auto"/>
      <w:szCs w:val="22"/>
      <w:lang w:eastAsia="en-US"/>
    </w:rPr>
  </w:style>
  <w:style w:type="paragraph" w:styleId="Heading2">
    <w:name w:val="heading 2"/>
    <w:basedOn w:val="Normal"/>
    <w:next w:val="Normal"/>
    <w:link w:val="Heading2Char"/>
    <w:uiPriority w:val="9"/>
    <w:semiHidden/>
    <w:unhideWhenUsed/>
    <w:qFormat/>
    <w:rsid w:val="0066208B"/>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66208B"/>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66208B"/>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sz w:val="24"/>
      <w:lang w:eastAsia="en-US"/>
    </w:rPr>
  </w:style>
  <w:style w:type="paragraph" w:styleId="Heading5">
    <w:name w:val="heading 5"/>
    <w:basedOn w:val="Normal"/>
    <w:next w:val="Normal"/>
    <w:link w:val="Heading5Char"/>
    <w:uiPriority w:val="9"/>
    <w:semiHidden/>
    <w:unhideWhenUsed/>
    <w:qFormat/>
    <w:rsid w:val="0066208B"/>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sz w:val="24"/>
      <w:lang w:eastAsia="en-US"/>
    </w:rPr>
  </w:style>
  <w:style w:type="paragraph" w:styleId="Heading6">
    <w:name w:val="heading 6"/>
    <w:basedOn w:val="Normal"/>
    <w:next w:val="Normal"/>
    <w:link w:val="Heading6Char"/>
    <w:uiPriority w:val="9"/>
    <w:semiHidden/>
    <w:unhideWhenUsed/>
    <w:qFormat/>
    <w:rsid w:val="0066208B"/>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sz w:val="24"/>
      <w:lang w:eastAsia="en-US"/>
    </w:rPr>
  </w:style>
  <w:style w:type="paragraph" w:styleId="Heading7">
    <w:name w:val="heading 7"/>
    <w:basedOn w:val="Normal"/>
    <w:next w:val="Normal"/>
    <w:link w:val="Heading7Char"/>
    <w:uiPriority w:val="9"/>
    <w:semiHidden/>
    <w:unhideWhenUsed/>
    <w:qFormat/>
    <w:rsid w:val="0066208B"/>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sz w:val="24"/>
      <w:lang w:eastAsia="en-US"/>
    </w:rPr>
  </w:style>
  <w:style w:type="paragraph" w:styleId="Heading8">
    <w:name w:val="heading 8"/>
    <w:basedOn w:val="Normal"/>
    <w:next w:val="Normal"/>
    <w:link w:val="Heading8Char"/>
    <w:uiPriority w:val="9"/>
    <w:semiHidden/>
    <w:unhideWhenUsed/>
    <w:qFormat/>
    <w:rsid w:val="0066208B"/>
    <w:pPr>
      <w:keepNext/>
      <w:keepLines/>
      <w:spacing w:after="0" w:line="278" w:lineRule="auto"/>
      <w:ind w:left="0" w:firstLine="0"/>
      <w:jc w:val="left"/>
      <w:outlineLvl w:val="7"/>
    </w:pPr>
    <w:rPr>
      <w:rFonts w:asciiTheme="minorHAnsi" w:eastAsiaTheme="majorEastAsia" w:hAnsiTheme="minorHAnsi" w:cstheme="majorBidi"/>
      <w:i/>
      <w:iCs/>
      <w:color w:val="272727" w:themeColor="text1" w:themeTint="D8"/>
      <w:sz w:val="24"/>
      <w:lang w:eastAsia="en-US"/>
    </w:rPr>
  </w:style>
  <w:style w:type="paragraph" w:styleId="Heading9">
    <w:name w:val="heading 9"/>
    <w:basedOn w:val="Normal"/>
    <w:next w:val="Normal"/>
    <w:link w:val="Heading9Char"/>
    <w:uiPriority w:val="9"/>
    <w:semiHidden/>
    <w:unhideWhenUsed/>
    <w:qFormat/>
    <w:rsid w:val="0066208B"/>
    <w:pPr>
      <w:keepNext/>
      <w:keepLines/>
      <w:spacing w:after="0" w:line="278" w:lineRule="auto"/>
      <w:ind w:left="0" w:firstLine="0"/>
      <w:jc w:val="left"/>
      <w:outlineLvl w:val="8"/>
    </w:pPr>
    <w:rPr>
      <w:rFonts w:asciiTheme="minorHAnsi" w:eastAsiaTheme="majorEastAsia" w:hAnsiTheme="minorHAnsi" w:cstheme="majorBidi"/>
      <w:color w:val="272727" w:themeColor="text1" w:themeTint="D8"/>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08B"/>
    <w:rPr>
      <w:rFonts w:ascii="Calibri" w:eastAsiaTheme="majorEastAsia" w:hAnsi="Calibri" w:cs="Calibri"/>
      <w:b/>
      <w:bCs/>
      <w:sz w:val="22"/>
      <w:szCs w:val="22"/>
    </w:rPr>
  </w:style>
  <w:style w:type="character" w:customStyle="1" w:styleId="Heading2Char">
    <w:name w:val="Heading 2 Char"/>
    <w:basedOn w:val="DefaultParagraphFont"/>
    <w:link w:val="Heading2"/>
    <w:uiPriority w:val="9"/>
    <w:semiHidden/>
    <w:rsid w:val="00662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08B"/>
    <w:rPr>
      <w:rFonts w:eastAsiaTheme="majorEastAsia" w:cstheme="majorBidi"/>
      <w:color w:val="272727" w:themeColor="text1" w:themeTint="D8"/>
    </w:rPr>
  </w:style>
  <w:style w:type="paragraph" w:styleId="Title">
    <w:name w:val="Title"/>
    <w:basedOn w:val="Normal"/>
    <w:next w:val="Normal"/>
    <w:link w:val="TitleChar"/>
    <w:uiPriority w:val="10"/>
    <w:qFormat/>
    <w:rsid w:val="0066208B"/>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662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08B"/>
    <w:pPr>
      <w:numPr>
        <w:ilvl w:val="1"/>
      </w:numPr>
      <w:spacing w:after="160" w:line="278" w:lineRule="auto"/>
      <w:ind w:left="10" w:hanging="10"/>
      <w:jc w:val="left"/>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662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08B"/>
    <w:pPr>
      <w:spacing w:before="160" w:after="160" w:line="278" w:lineRule="auto"/>
      <w:ind w:left="0" w:firstLine="0"/>
      <w:jc w:val="center"/>
    </w:pPr>
    <w:rPr>
      <w:rFonts w:asciiTheme="minorHAnsi" w:eastAsiaTheme="minorHAnsi" w:hAnsiTheme="minorHAnsi" w:cstheme="minorBidi"/>
      <w:i/>
      <w:iCs/>
      <w:color w:val="404040" w:themeColor="text1" w:themeTint="BF"/>
      <w:sz w:val="24"/>
      <w:lang w:eastAsia="en-US"/>
    </w:rPr>
  </w:style>
  <w:style w:type="character" w:customStyle="1" w:styleId="QuoteChar">
    <w:name w:val="Quote Char"/>
    <w:basedOn w:val="DefaultParagraphFont"/>
    <w:link w:val="Quote"/>
    <w:uiPriority w:val="29"/>
    <w:rsid w:val="0066208B"/>
    <w:rPr>
      <w:i/>
      <w:iCs/>
      <w:color w:val="404040" w:themeColor="text1" w:themeTint="BF"/>
    </w:rPr>
  </w:style>
  <w:style w:type="paragraph" w:styleId="ListParagraph">
    <w:name w:val="List Paragraph"/>
    <w:basedOn w:val="Normal"/>
    <w:uiPriority w:val="34"/>
    <w:qFormat/>
    <w:rsid w:val="0066208B"/>
    <w:pPr>
      <w:spacing w:after="160" w:line="278" w:lineRule="auto"/>
      <w:ind w:left="720" w:firstLine="0"/>
      <w:contextualSpacing/>
      <w:jc w:val="left"/>
    </w:pPr>
    <w:rPr>
      <w:rFonts w:asciiTheme="minorHAnsi" w:eastAsiaTheme="minorHAnsi" w:hAnsiTheme="minorHAnsi" w:cstheme="minorBidi"/>
      <w:color w:val="auto"/>
      <w:sz w:val="24"/>
      <w:lang w:eastAsia="en-US"/>
    </w:rPr>
  </w:style>
  <w:style w:type="character" w:styleId="IntenseEmphasis">
    <w:name w:val="Intense Emphasis"/>
    <w:basedOn w:val="DefaultParagraphFont"/>
    <w:uiPriority w:val="21"/>
    <w:qFormat/>
    <w:rsid w:val="0066208B"/>
    <w:rPr>
      <w:i/>
      <w:iCs/>
      <w:color w:val="0F4761" w:themeColor="accent1" w:themeShade="BF"/>
    </w:rPr>
  </w:style>
  <w:style w:type="paragraph" w:styleId="IntenseQuote">
    <w:name w:val="Intense Quote"/>
    <w:basedOn w:val="Normal"/>
    <w:next w:val="Normal"/>
    <w:link w:val="IntenseQuoteChar"/>
    <w:uiPriority w:val="30"/>
    <w:qFormat/>
    <w:rsid w:val="0066208B"/>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sz w:val="24"/>
      <w:lang w:eastAsia="en-US"/>
    </w:rPr>
  </w:style>
  <w:style w:type="character" w:customStyle="1" w:styleId="IntenseQuoteChar">
    <w:name w:val="Intense Quote Char"/>
    <w:basedOn w:val="DefaultParagraphFont"/>
    <w:link w:val="IntenseQuote"/>
    <w:uiPriority w:val="30"/>
    <w:rsid w:val="0066208B"/>
    <w:rPr>
      <w:i/>
      <w:iCs/>
      <w:color w:val="0F4761" w:themeColor="accent1" w:themeShade="BF"/>
    </w:rPr>
  </w:style>
  <w:style w:type="character" w:styleId="IntenseReference">
    <w:name w:val="Intense Reference"/>
    <w:basedOn w:val="DefaultParagraphFont"/>
    <w:uiPriority w:val="32"/>
    <w:qFormat/>
    <w:rsid w:val="0066208B"/>
    <w:rPr>
      <w:b/>
      <w:bCs/>
      <w:smallCaps/>
      <w:color w:val="0F4761" w:themeColor="accent1" w:themeShade="BF"/>
      <w:spacing w:val="5"/>
    </w:rPr>
  </w:style>
  <w:style w:type="paragraph" w:styleId="Header">
    <w:name w:val="header"/>
    <w:basedOn w:val="Normal"/>
    <w:link w:val="HeaderChar"/>
    <w:uiPriority w:val="99"/>
    <w:unhideWhenUsed/>
    <w:rsid w:val="0066208B"/>
    <w:pPr>
      <w:tabs>
        <w:tab w:val="center" w:pos="4513"/>
        <w:tab w:val="right" w:pos="9026"/>
      </w:tabs>
      <w:spacing w:after="0" w:line="240" w:lineRule="auto"/>
      <w:ind w:left="0" w:firstLine="0"/>
      <w:jc w:val="left"/>
    </w:pPr>
    <w:rPr>
      <w:rFonts w:asciiTheme="minorHAnsi" w:eastAsiaTheme="minorHAnsi" w:hAnsiTheme="minorHAnsi" w:cstheme="minorBidi"/>
      <w:color w:val="auto"/>
      <w:sz w:val="24"/>
      <w:lang w:eastAsia="en-US"/>
    </w:rPr>
  </w:style>
  <w:style w:type="character" w:customStyle="1" w:styleId="HeaderChar">
    <w:name w:val="Header Char"/>
    <w:basedOn w:val="DefaultParagraphFont"/>
    <w:link w:val="Header"/>
    <w:uiPriority w:val="99"/>
    <w:rsid w:val="0066208B"/>
  </w:style>
  <w:style w:type="paragraph" w:styleId="Footer">
    <w:name w:val="footer"/>
    <w:basedOn w:val="Normal"/>
    <w:link w:val="FooterChar"/>
    <w:uiPriority w:val="99"/>
    <w:unhideWhenUsed/>
    <w:rsid w:val="0066208B"/>
    <w:pPr>
      <w:tabs>
        <w:tab w:val="center" w:pos="4513"/>
        <w:tab w:val="right" w:pos="9026"/>
      </w:tabs>
      <w:spacing w:after="0" w:line="240" w:lineRule="auto"/>
      <w:ind w:left="0" w:firstLine="0"/>
      <w:jc w:val="left"/>
    </w:pPr>
    <w:rPr>
      <w:rFonts w:asciiTheme="minorHAnsi" w:eastAsiaTheme="minorHAnsi" w:hAnsiTheme="minorHAnsi" w:cstheme="minorBidi"/>
      <w:color w:val="auto"/>
      <w:sz w:val="24"/>
      <w:lang w:eastAsia="en-US"/>
    </w:rPr>
  </w:style>
  <w:style w:type="character" w:customStyle="1" w:styleId="FooterChar">
    <w:name w:val="Footer Char"/>
    <w:basedOn w:val="DefaultParagraphFont"/>
    <w:link w:val="Footer"/>
    <w:uiPriority w:val="99"/>
    <w:rsid w:val="0066208B"/>
  </w:style>
  <w:style w:type="table" w:customStyle="1" w:styleId="TableGrid">
    <w:name w:val="TableGrid"/>
    <w:rsid w:val="0066208B"/>
    <w:pPr>
      <w:spacing w:after="0" w:line="240" w:lineRule="auto"/>
    </w:pPr>
    <w:rPr>
      <w:rFonts w:eastAsiaTheme="minorEastAsia"/>
      <w:lang w:eastAsia="en-IE"/>
    </w:rPr>
    <w:tblPr>
      <w:tblCellMar>
        <w:top w:w="0" w:type="dxa"/>
        <w:left w:w="0" w:type="dxa"/>
        <w:bottom w:w="0" w:type="dxa"/>
        <w:right w:w="0" w:type="dxa"/>
      </w:tblCellMar>
    </w:tblPr>
  </w:style>
  <w:style w:type="character" w:styleId="Hyperlink">
    <w:name w:val="Hyperlink"/>
    <w:basedOn w:val="DefaultParagraphFont"/>
    <w:uiPriority w:val="99"/>
    <w:unhideWhenUsed/>
    <w:rsid w:val="005001FA"/>
    <w:rPr>
      <w:color w:val="467886" w:themeColor="hyperlink"/>
      <w:u w:val="single"/>
    </w:rPr>
  </w:style>
  <w:style w:type="character" w:styleId="UnresolvedMention">
    <w:name w:val="Unresolved Mention"/>
    <w:basedOn w:val="DefaultParagraphFont"/>
    <w:uiPriority w:val="99"/>
    <w:semiHidden/>
    <w:unhideWhenUsed/>
    <w:rsid w:val="005001FA"/>
    <w:rPr>
      <w:color w:val="605E5C"/>
      <w:shd w:val="clear" w:color="auto" w:fill="E1DFDD"/>
    </w:rPr>
  </w:style>
  <w:style w:type="character" w:styleId="FollowedHyperlink">
    <w:name w:val="FollowedHyperlink"/>
    <w:basedOn w:val="DefaultParagraphFont"/>
    <w:uiPriority w:val="99"/>
    <w:semiHidden/>
    <w:unhideWhenUsed/>
    <w:rsid w:val="00C26CB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608619">
      <w:bodyDiv w:val="1"/>
      <w:marLeft w:val="0"/>
      <w:marRight w:val="0"/>
      <w:marTop w:val="0"/>
      <w:marBottom w:val="0"/>
      <w:divBdr>
        <w:top w:val="none" w:sz="0" w:space="0" w:color="auto"/>
        <w:left w:val="none" w:sz="0" w:space="0" w:color="auto"/>
        <w:bottom w:val="none" w:sz="0" w:space="0" w:color="auto"/>
        <w:right w:val="none" w:sz="0" w:space="0" w:color="auto"/>
      </w:divBdr>
    </w:div>
    <w:div w:id="506481772">
      <w:bodyDiv w:val="1"/>
      <w:marLeft w:val="0"/>
      <w:marRight w:val="0"/>
      <w:marTop w:val="0"/>
      <w:marBottom w:val="0"/>
      <w:divBdr>
        <w:top w:val="none" w:sz="0" w:space="0" w:color="auto"/>
        <w:left w:val="none" w:sz="0" w:space="0" w:color="auto"/>
        <w:bottom w:val="none" w:sz="0" w:space="0" w:color="auto"/>
        <w:right w:val="none" w:sz="0" w:space="0" w:color="auto"/>
      </w:divBdr>
    </w:div>
    <w:div w:id="1019891379">
      <w:bodyDiv w:val="1"/>
      <w:marLeft w:val="0"/>
      <w:marRight w:val="0"/>
      <w:marTop w:val="0"/>
      <w:marBottom w:val="0"/>
      <w:divBdr>
        <w:top w:val="none" w:sz="0" w:space="0" w:color="auto"/>
        <w:left w:val="none" w:sz="0" w:space="0" w:color="auto"/>
        <w:bottom w:val="none" w:sz="0" w:space="0" w:color="auto"/>
        <w:right w:val="none" w:sz="0" w:space="0" w:color="auto"/>
      </w:divBdr>
    </w:div>
    <w:div w:id="136027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ildingsandestates@universityofgalway.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youtube.com/watch?gl=US&amp;hl=uk&amp;v=o2dNN2waoS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Flaherty, Áine</dc:creator>
  <cp:keywords/>
  <dc:description/>
  <cp:lastModifiedBy>Flaherty, Áine</cp:lastModifiedBy>
  <cp:revision>4</cp:revision>
  <cp:lastPrinted>2024-03-21T11:45:00Z</cp:lastPrinted>
  <dcterms:created xsi:type="dcterms:W3CDTF">2024-09-27T10:57:00Z</dcterms:created>
  <dcterms:modified xsi:type="dcterms:W3CDTF">2024-10-31T09:49:00Z</dcterms:modified>
</cp:coreProperties>
</file>