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CF1B1" w14:textId="77777777" w:rsidR="00F07B2C" w:rsidRPr="00513131" w:rsidRDefault="00F07B2C" w:rsidP="004D12C3">
      <w:pPr>
        <w:jc w:val="both"/>
        <w:rPr>
          <w:rFonts w:asciiTheme="majorHAnsi" w:hAnsiTheme="majorHAnsi"/>
          <w:b/>
          <w:sz w:val="40"/>
          <w:szCs w:val="40"/>
          <w:u w:val="single"/>
        </w:rPr>
      </w:pPr>
    </w:p>
    <w:p w14:paraId="10D10ABD" w14:textId="77777777" w:rsidR="00F07B2C" w:rsidRPr="00513131" w:rsidRDefault="00F07B2C" w:rsidP="004D12C3">
      <w:pPr>
        <w:jc w:val="both"/>
        <w:rPr>
          <w:rFonts w:asciiTheme="majorHAnsi" w:hAnsiTheme="majorHAnsi"/>
          <w:b/>
          <w:sz w:val="40"/>
          <w:szCs w:val="40"/>
          <w:u w:val="single"/>
        </w:rPr>
      </w:pPr>
    </w:p>
    <w:p w14:paraId="3E95BCAB" w14:textId="77777777" w:rsidR="00F07B2C" w:rsidRPr="00513131" w:rsidRDefault="00F07B2C" w:rsidP="004D12C3">
      <w:pPr>
        <w:jc w:val="both"/>
        <w:rPr>
          <w:rFonts w:asciiTheme="majorHAnsi" w:hAnsiTheme="majorHAnsi"/>
          <w:b/>
          <w:sz w:val="40"/>
          <w:szCs w:val="40"/>
          <w:u w:val="single"/>
        </w:rPr>
      </w:pPr>
    </w:p>
    <w:p w14:paraId="1173B4F4" w14:textId="77777777" w:rsidR="00F07B2C" w:rsidRPr="00513131" w:rsidRDefault="00F07B2C" w:rsidP="004D12C3">
      <w:pPr>
        <w:jc w:val="both"/>
        <w:rPr>
          <w:rFonts w:asciiTheme="majorHAnsi" w:hAnsiTheme="majorHAnsi"/>
          <w:b/>
          <w:sz w:val="40"/>
          <w:szCs w:val="40"/>
          <w:u w:val="single"/>
        </w:rPr>
      </w:pPr>
    </w:p>
    <w:p w14:paraId="1EF1BD66" w14:textId="77777777" w:rsidR="00F07B2C" w:rsidRPr="00513131" w:rsidRDefault="00F07B2C" w:rsidP="004D12C3">
      <w:pPr>
        <w:jc w:val="both"/>
        <w:rPr>
          <w:rFonts w:asciiTheme="majorHAnsi" w:hAnsiTheme="majorHAnsi"/>
          <w:b/>
          <w:sz w:val="40"/>
          <w:szCs w:val="40"/>
          <w:u w:val="single"/>
        </w:rPr>
      </w:pPr>
    </w:p>
    <w:p w14:paraId="3AFBB3D8" w14:textId="77777777" w:rsidR="00F07B2C" w:rsidRPr="00513131" w:rsidRDefault="00F07B2C" w:rsidP="004D12C3">
      <w:pPr>
        <w:jc w:val="both"/>
        <w:rPr>
          <w:rFonts w:asciiTheme="majorHAnsi" w:hAnsiTheme="majorHAnsi"/>
          <w:b/>
          <w:sz w:val="40"/>
          <w:szCs w:val="40"/>
          <w:u w:val="single"/>
        </w:rPr>
      </w:pPr>
    </w:p>
    <w:p w14:paraId="652F2B60" w14:textId="77777777" w:rsidR="00F07B2C" w:rsidRPr="00513131" w:rsidRDefault="00F07B2C" w:rsidP="004D12C3">
      <w:pPr>
        <w:pStyle w:val="Title"/>
        <w:jc w:val="both"/>
        <w:rPr>
          <w:rFonts w:asciiTheme="majorHAnsi" w:hAnsiTheme="majorHAnsi"/>
          <w:color w:val="auto"/>
        </w:rPr>
      </w:pPr>
    </w:p>
    <w:p w14:paraId="5D9FEDC5" w14:textId="77777777" w:rsidR="00F07B2C" w:rsidRPr="00513131" w:rsidRDefault="00F07B2C" w:rsidP="004D12C3">
      <w:pPr>
        <w:pStyle w:val="Title"/>
        <w:jc w:val="both"/>
        <w:rPr>
          <w:rFonts w:asciiTheme="majorHAnsi" w:hAnsiTheme="majorHAnsi"/>
          <w:color w:val="auto"/>
        </w:rPr>
      </w:pPr>
    </w:p>
    <w:p w14:paraId="5B718DFC" w14:textId="77777777" w:rsidR="00F07B2C" w:rsidRPr="007C4B78" w:rsidRDefault="00F07B2C" w:rsidP="004D12C3">
      <w:pPr>
        <w:pStyle w:val="Title"/>
        <w:jc w:val="both"/>
        <w:rPr>
          <w:rFonts w:asciiTheme="majorHAnsi" w:hAnsiTheme="majorHAnsi"/>
          <w:color w:val="auto"/>
        </w:rPr>
      </w:pPr>
      <w:r w:rsidRPr="007C4B78">
        <w:rPr>
          <w:rFonts w:asciiTheme="majorHAnsi" w:hAnsiTheme="majorHAnsi"/>
          <w:color w:val="auto"/>
        </w:rPr>
        <w:t xml:space="preserve">ACCESS TO JUSTICE FOR CHILDREN WITH </w:t>
      </w:r>
      <w:r w:rsidR="00CF0F5B" w:rsidRPr="007C4B78">
        <w:rPr>
          <w:rFonts w:asciiTheme="majorHAnsi" w:hAnsiTheme="majorHAnsi"/>
          <w:color w:val="auto"/>
        </w:rPr>
        <w:t>COGNITIVE</w:t>
      </w:r>
      <w:r w:rsidRPr="007C4B78">
        <w:rPr>
          <w:rFonts w:asciiTheme="majorHAnsi" w:hAnsiTheme="majorHAnsi"/>
          <w:color w:val="auto"/>
        </w:rPr>
        <w:t xml:space="preserve"> DISABILITIES</w:t>
      </w:r>
    </w:p>
    <w:p w14:paraId="2E60DA35" w14:textId="77777777" w:rsidR="00E949D0" w:rsidRPr="007C4B78" w:rsidRDefault="00E949D0" w:rsidP="004D12C3">
      <w:pPr>
        <w:jc w:val="both"/>
      </w:pPr>
    </w:p>
    <w:p w14:paraId="549FFF0A" w14:textId="77777777" w:rsidR="00E949D0" w:rsidRPr="007C4B78" w:rsidRDefault="00E949D0" w:rsidP="004D12C3">
      <w:pPr>
        <w:jc w:val="both"/>
      </w:pPr>
    </w:p>
    <w:p w14:paraId="19081008" w14:textId="77777777" w:rsidR="00770CEB" w:rsidRPr="007C4B78" w:rsidRDefault="00770CEB" w:rsidP="004D12C3">
      <w:pPr>
        <w:jc w:val="both"/>
        <w:rPr>
          <w:rFonts w:asciiTheme="majorHAnsi" w:hAnsiTheme="majorHAnsi"/>
        </w:rPr>
      </w:pPr>
    </w:p>
    <w:p w14:paraId="655BBDDF" w14:textId="77777777" w:rsidR="00F07B2C" w:rsidRPr="007C4B78" w:rsidRDefault="00E949D0" w:rsidP="004D12C3">
      <w:pPr>
        <w:pStyle w:val="Title"/>
        <w:jc w:val="both"/>
      </w:pPr>
      <w:r w:rsidRPr="007C4B78">
        <w:t>IRELAND COUNTRY REPORT</w:t>
      </w:r>
    </w:p>
    <w:p w14:paraId="0B901258" w14:textId="77777777" w:rsidR="00F07B2C" w:rsidRPr="007C4B78" w:rsidRDefault="00F07B2C" w:rsidP="004D12C3">
      <w:pPr>
        <w:pStyle w:val="Subtitle"/>
        <w:jc w:val="both"/>
      </w:pPr>
    </w:p>
    <w:p w14:paraId="311C76E3" w14:textId="77777777" w:rsidR="00F07B2C" w:rsidRPr="007C4B78" w:rsidRDefault="00F07B2C" w:rsidP="004D12C3">
      <w:pPr>
        <w:jc w:val="both"/>
        <w:rPr>
          <w:rFonts w:asciiTheme="majorHAnsi" w:hAnsiTheme="majorHAnsi"/>
        </w:rPr>
      </w:pPr>
    </w:p>
    <w:p w14:paraId="2C09AFCB" w14:textId="77777777" w:rsidR="00F07B2C" w:rsidRPr="007C4B78" w:rsidRDefault="00F07B2C" w:rsidP="004D12C3">
      <w:pPr>
        <w:jc w:val="both"/>
        <w:rPr>
          <w:rFonts w:asciiTheme="majorHAnsi" w:hAnsiTheme="majorHAnsi"/>
        </w:rPr>
      </w:pPr>
    </w:p>
    <w:p w14:paraId="0AA9C39C" w14:textId="77777777" w:rsidR="00F07B2C" w:rsidRPr="007C4B78" w:rsidRDefault="00F07B2C" w:rsidP="004D12C3">
      <w:pPr>
        <w:jc w:val="both"/>
        <w:rPr>
          <w:rFonts w:asciiTheme="majorHAnsi" w:hAnsiTheme="majorHAnsi"/>
        </w:rPr>
      </w:pPr>
    </w:p>
    <w:p w14:paraId="2DC1E860" w14:textId="77777777" w:rsidR="00F07B2C" w:rsidRPr="007C4B78" w:rsidRDefault="00F07B2C" w:rsidP="004D12C3">
      <w:pPr>
        <w:jc w:val="both"/>
        <w:rPr>
          <w:rFonts w:asciiTheme="majorHAnsi" w:hAnsiTheme="majorHAnsi"/>
        </w:rPr>
      </w:pPr>
    </w:p>
    <w:p w14:paraId="02FC8744" w14:textId="77777777" w:rsidR="00F07B2C" w:rsidRPr="007C4B78" w:rsidRDefault="00F07B2C" w:rsidP="004D12C3">
      <w:pPr>
        <w:jc w:val="both"/>
        <w:rPr>
          <w:rFonts w:asciiTheme="majorHAnsi" w:hAnsiTheme="majorHAnsi"/>
        </w:rPr>
      </w:pPr>
    </w:p>
    <w:p w14:paraId="2CDDEDC2" w14:textId="77777777" w:rsidR="00F07B2C" w:rsidRPr="007C4B78" w:rsidRDefault="00A97927" w:rsidP="004D12C3">
      <w:pPr>
        <w:jc w:val="both"/>
        <w:rPr>
          <w:rFonts w:asciiTheme="majorHAnsi" w:hAnsiTheme="majorHAnsi"/>
        </w:rPr>
      </w:pPr>
      <w:r w:rsidRPr="007C4B78">
        <w:rPr>
          <w:rFonts w:asciiTheme="majorHAnsi" w:hAnsiTheme="majorHAnsi"/>
        </w:rPr>
        <w:t>By Jenni</w:t>
      </w:r>
      <w:r w:rsidR="00AD5373" w:rsidRPr="007C4B78">
        <w:rPr>
          <w:rFonts w:asciiTheme="majorHAnsi" w:hAnsiTheme="majorHAnsi"/>
        </w:rPr>
        <w:t>fer</w:t>
      </w:r>
      <w:r w:rsidRPr="007C4B78">
        <w:rPr>
          <w:rFonts w:asciiTheme="majorHAnsi" w:hAnsiTheme="majorHAnsi"/>
        </w:rPr>
        <w:t xml:space="preserve"> Kline and </w:t>
      </w:r>
      <w:r w:rsidR="007C4B78" w:rsidRPr="007C4B78">
        <w:rPr>
          <w:rFonts w:asciiTheme="majorHAnsi" w:hAnsiTheme="majorHAnsi"/>
        </w:rPr>
        <w:t xml:space="preserve">Dr </w:t>
      </w:r>
      <w:r w:rsidRPr="007C4B78">
        <w:rPr>
          <w:rFonts w:asciiTheme="majorHAnsi" w:hAnsiTheme="majorHAnsi"/>
        </w:rPr>
        <w:t>Eilionóir Flynn, Centre for Disability Law &amp; Policy, National University of Ireland Galway</w:t>
      </w:r>
    </w:p>
    <w:p w14:paraId="58F6EBD7" w14:textId="77777777" w:rsidR="00F07B2C" w:rsidRPr="007C4B78" w:rsidRDefault="00F07B2C" w:rsidP="004D12C3">
      <w:pPr>
        <w:jc w:val="both"/>
        <w:rPr>
          <w:rFonts w:asciiTheme="majorHAnsi" w:hAnsiTheme="majorHAnsi"/>
        </w:rPr>
      </w:pPr>
    </w:p>
    <w:p w14:paraId="13C28913" w14:textId="77777777" w:rsidR="00F07B2C" w:rsidRPr="007C4B78" w:rsidRDefault="00F07B2C" w:rsidP="004D12C3">
      <w:pPr>
        <w:jc w:val="both"/>
        <w:rPr>
          <w:rFonts w:asciiTheme="majorHAnsi" w:hAnsiTheme="majorHAnsi"/>
        </w:rPr>
      </w:pPr>
    </w:p>
    <w:p w14:paraId="29115BF2" w14:textId="77777777" w:rsidR="00F07B2C" w:rsidRPr="007C4B78" w:rsidRDefault="00F07B2C" w:rsidP="004D12C3">
      <w:pPr>
        <w:jc w:val="both"/>
        <w:rPr>
          <w:rFonts w:asciiTheme="majorHAnsi" w:hAnsiTheme="majorHAnsi"/>
        </w:rPr>
      </w:pPr>
    </w:p>
    <w:p w14:paraId="1A0115AE" w14:textId="77777777" w:rsidR="00F07B2C" w:rsidRPr="007C4B78" w:rsidRDefault="00F07B2C" w:rsidP="004D12C3">
      <w:pPr>
        <w:jc w:val="both"/>
        <w:rPr>
          <w:rFonts w:asciiTheme="majorHAnsi" w:hAnsiTheme="majorHAnsi"/>
        </w:rPr>
      </w:pPr>
    </w:p>
    <w:p w14:paraId="36A9619E" w14:textId="77777777" w:rsidR="00F07B2C" w:rsidRPr="007C4B78" w:rsidRDefault="00F07B2C" w:rsidP="004D12C3">
      <w:pPr>
        <w:jc w:val="both"/>
        <w:rPr>
          <w:rFonts w:asciiTheme="majorHAnsi" w:hAnsiTheme="majorHAnsi"/>
        </w:rPr>
      </w:pPr>
    </w:p>
    <w:p w14:paraId="1B12C716" w14:textId="77777777" w:rsidR="00F07B2C" w:rsidRPr="007C4B78" w:rsidRDefault="00F07B2C" w:rsidP="004D12C3">
      <w:pPr>
        <w:jc w:val="both"/>
        <w:rPr>
          <w:rFonts w:asciiTheme="majorHAnsi" w:hAnsiTheme="majorHAnsi"/>
        </w:rPr>
      </w:pPr>
    </w:p>
    <w:p w14:paraId="3A6C64EB" w14:textId="77777777" w:rsidR="00F07B2C" w:rsidRPr="007C4B78" w:rsidRDefault="00F07B2C" w:rsidP="004D12C3">
      <w:pPr>
        <w:jc w:val="both"/>
        <w:rPr>
          <w:rFonts w:asciiTheme="majorHAnsi" w:hAnsiTheme="majorHAnsi"/>
        </w:rPr>
      </w:pPr>
    </w:p>
    <w:p w14:paraId="6B68619C" w14:textId="77777777" w:rsidR="00F07B2C" w:rsidRPr="007C4B78" w:rsidRDefault="00F07B2C" w:rsidP="004D12C3">
      <w:pPr>
        <w:jc w:val="both"/>
        <w:rPr>
          <w:rFonts w:asciiTheme="majorHAnsi" w:hAnsiTheme="majorHAnsi"/>
        </w:rPr>
      </w:pPr>
    </w:p>
    <w:p w14:paraId="1E75A080" w14:textId="77777777" w:rsidR="00F07B2C" w:rsidRPr="007C4B78" w:rsidRDefault="00F07B2C" w:rsidP="004D12C3">
      <w:pPr>
        <w:jc w:val="both"/>
        <w:rPr>
          <w:rFonts w:asciiTheme="majorHAnsi" w:hAnsiTheme="majorHAnsi"/>
        </w:rPr>
      </w:pPr>
    </w:p>
    <w:p w14:paraId="219B07AC" w14:textId="77777777" w:rsidR="00F07B2C" w:rsidRPr="007C4B78" w:rsidRDefault="00F07B2C" w:rsidP="004D12C3">
      <w:pPr>
        <w:jc w:val="both"/>
        <w:rPr>
          <w:rFonts w:asciiTheme="majorHAnsi" w:hAnsiTheme="majorHAnsi"/>
        </w:rPr>
      </w:pPr>
    </w:p>
    <w:p w14:paraId="53821BAA" w14:textId="77777777" w:rsidR="00F07B2C" w:rsidRPr="007C4B78" w:rsidRDefault="00F07B2C" w:rsidP="004D12C3">
      <w:pPr>
        <w:jc w:val="both"/>
        <w:rPr>
          <w:rFonts w:asciiTheme="majorHAnsi" w:hAnsiTheme="majorHAnsi"/>
        </w:rPr>
      </w:pPr>
    </w:p>
    <w:p w14:paraId="416C1BDB" w14:textId="77777777" w:rsidR="00F07B2C" w:rsidRPr="007C4B78" w:rsidRDefault="00F07B2C" w:rsidP="004D12C3">
      <w:pPr>
        <w:jc w:val="both"/>
        <w:rPr>
          <w:rFonts w:asciiTheme="majorHAnsi" w:hAnsiTheme="majorHAnsi"/>
        </w:rPr>
      </w:pPr>
    </w:p>
    <w:p w14:paraId="6B7564E4" w14:textId="77777777" w:rsidR="00F07B2C" w:rsidRPr="007C4B78" w:rsidRDefault="00F07B2C" w:rsidP="004D12C3">
      <w:pPr>
        <w:jc w:val="both"/>
        <w:rPr>
          <w:rFonts w:asciiTheme="majorHAnsi" w:hAnsiTheme="majorHAnsi"/>
        </w:rPr>
      </w:pPr>
    </w:p>
    <w:p w14:paraId="11AC71D9" w14:textId="77777777" w:rsidR="00F07B2C" w:rsidRPr="007C4B78" w:rsidRDefault="00F07B2C" w:rsidP="004D12C3">
      <w:pPr>
        <w:jc w:val="both"/>
        <w:rPr>
          <w:rFonts w:asciiTheme="majorHAnsi" w:hAnsiTheme="majorHAnsi"/>
        </w:rPr>
      </w:pPr>
    </w:p>
    <w:p w14:paraId="1F983E6B" w14:textId="77777777" w:rsidR="006B7F10" w:rsidRPr="007C4B78" w:rsidRDefault="006B7F10" w:rsidP="004D12C3">
      <w:pPr>
        <w:pStyle w:val="TOC2"/>
        <w:jc w:val="both"/>
        <w:rPr>
          <w:rStyle w:val="Heading1Char"/>
          <w:b/>
          <w:smallCaps w:val="0"/>
        </w:rPr>
      </w:pPr>
      <w:bookmarkStart w:id="0" w:name="_Toc417303127"/>
      <w:r w:rsidRPr="007C4B78">
        <w:rPr>
          <w:rStyle w:val="Heading1Char"/>
          <w:color w:val="auto"/>
        </w:rPr>
        <w:lastRenderedPageBreak/>
        <w:t>Table of Contents</w:t>
      </w:r>
      <w:bookmarkEnd w:id="0"/>
    </w:p>
    <w:p w14:paraId="2E9F4545" w14:textId="77777777" w:rsidR="003737D9" w:rsidRPr="007C4B78" w:rsidRDefault="00B83C67">
      <w:pPr>
        <w:pStyle w:val="TOC1"/>
        <w:tabs>
          <w:tab w:val="right" w:leader="dot" w:pos="8630"/>
        </w:tabs>
        <w:rPr>
          <w:rFonts w:asciiTheme="minorHAnsi" w:eastAsiaTheme="minorEastAsia" w:hAnsiTheme="minorHAnsi" w:cstheme="minorBidi"/>
          <w:b w:val="0"/>
          <w:caps w:val="0"/>
          <w:noProof/>
          <w:u w:val="none"/>
          <w:lang w:val="en-IE" w:eastAsia="en-IE"/>
        </w:rPr>
      </w:pPr>
      <w:r w:rsidRPr="007C4B78">
        <w:rPr>
          <w:rStyle w:val="Heading1Char"/>
          <w:color w:val="auto"/>
        </w:rPr>
        <w:fldChar w:fldCharType="begin"/>
      </w:r>
      <w:r w:rsidR="00E74C07" w:rsidRPr="007C4B78">
        <w:rPr>
          <w:rStyle w:val="Heading1Char"/>
          <w:color w:val="auto"/>
        </w:rPr>
        <w:instrText xml:space="preserve"> TOC \o "1-3" </w:instrText>
      </w:r>
      <w:r w:rsidRPr="007C4B78">
        <w:rPr>
          <w:rStyle w:val="Heading1Char"/>
          <w:color w:val="auto"/>
        </w:rPr>
        <w:fldChar w:fldCharType="separate"/>
      </w:r>
      <w:r w:rsidR="003737D9" w:rsidRPr="007C4B78">
        <w:rPr>
          <w:b w:val="0"/>
          <w:smallCaps/>
          <w:noProof/>
        </w:rPr>
        <w:t>Table of Contents</w:t>
      </w:r>
      <w:r w:rsidR="003737D9" w:rsidRPr="007C4B78">
        <w:rPr>
          <w:noProof/>
        </w:rPr>
        <w:tab/>
      </w:r>
      <w:r w:rsidR="003737D9" w:rsidRPr="007C4B78">
        <w:rPr>
          <w:noProof/>
        </w:rPr>
        <w:fldChar w:fldCharType="begin"/>
      </w:r>
      <w:r w:rsidR="003737D9" w:rsidRPr="007C4B78">
        <w:rPr>
          <w:noProof/>
        </w:rPr>
        <w:instrText xml:space="preserve"> PAGEREF _Toc417303127 \h </w:instrText>
      </w:r>
      <w:r w:rsidR="003737D9" w:rsidRPr="007C4B78">
        <w:rPr>
          <w:noProof/>
        </w:rPr>
      </w:r>
      <w:r w:rsidR="003737D9" w:rsidRPr="007C4B78">
        <w:rPr>
          <w:noProof/>
        </w:rPr>
        <w:fldChar w:fldCharType="separate"/>
      </w:r>
      <w:r w:rsidR="00B20F7E">
        <w:rPr>
          <w:noProof/>
        </w:rPr>
        <w:t>2</w:t>
      </w:r>
      <w:r w:rsidR="003737D9" w:rsidRPr="007C4B78">
        <w:rPr>
          <w:noProof/>
        </w:rPr>
        <w:fldChar w:fldCharType="end"/>
      </w:r>
    </w:p>
    <w:p w14:paraId="2F313CF6" w14:textId="77777777" w:rsidR="003737D9" w:rsidRPr="007C4B78" w:rsidRDefault="003737D9">
      <w:pPr>
        <w:pStyle w:val="TOC1"/>
        <w:tabs>
          <w:tab w:val="right" w:leader="dot" w:pos="8630"/>
        </w:tabs>
        <w:rPr>
          <w:rFonts w:asciiTheme="minorHAnsi" w:eastAsiaTheme="minorEastAsia" w:hAnsiTheme="minorHAnsi" w:cstheme="minorBidi"/>
          <w:b w:val="0"/>
          <w:caps w:val="0"/>
          <w:noProof/>
          <w:u w:val="none"/>
          <w:lang w:val="en-IE" w:eastAsia="en-IE"/>
        </w:rPr>
      </w:pPr>
      <w:r w:rsidRPr="007C4B78">
        <w:rPr>
          <w:noProof/>
        </w:rPr>
        <w:t>Introduction</w:t>
      </w:r>
      <w:r w:rsidRPr="007C4B78">
        <w:rPr>
          <w:noProof/>
        </w:rPr>
        <w:tab/>
      </w:r>
      <w:r w:rsidRPr="007C4B78">
        <w:rPr>
          <w:noProof/>
        </w:rPr>
        <w:fldChar w:fldCharType="begin"/>
      </w:r>
      <w:r w:rsidRPr="007C4B78">
        <w:rPr>
          <w:noProof/>
        </w:rPr>
        <w:instrText xml:space="preserve"> PAGEREF _Toc417303128 \h </w:instrText>
      </w:r>
      <w:r w:rsidRPr="007C4B78">
        <w:rPr>
          <w:noProof/>
        </w:rPr>
      </w:r>
      <w:r w:rsidRPr="007C4B78">
        <w:rPr>
          <w:noProof/>
        </w:rPr>
        <w:fldChar w:fldCharType="separate"/>
      </w:r>
      <w:r w:rsidR="00B20F7E">
        <w:rPr>
          <w:noProof/>
        </w:rPr>
        <w:t>4</w:t>
      </w:r>
      <w:r w:rsidRPr="007C4B78">
        <w:rPr>
          <w:noProof/>
        </w:rPr>
        <w:fldChar w:fldCharType="end"/>
      </w:r>
    </w:p>
    <w:p w14:paraId="0EFC7B7E"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About the Project</w:t>
      </w:r>
      <w:r w:rsidRPr="007C4B78">
        <w:rPr>
          <w:noProof/>
        </w:rPr>
        <w:tab/>
      </w:r>
      <w:r w:rsidRPr="007C4B78">
        <w:rPr>
          <w:noProof/>
        </w:rPr>
        <w:fldChar w:fldCharType="begin"/>
      </w:r>
      <w:r w:rsidRPr="007C4B78">
        <w:rPr>
          <w:noProof/>
        </w:rPr>
        <w:instrText xml:space="preserve"> PAGEREF _Toc417303129 \h </w:instrText>
      </w:r>
      <w:r w:rsidRPr="007C4B78">
        <w:rPr>
          <w:noProof/>
        </w:rPr>
      </w:r>
      <w:r w:rsidRPr="007C4B78">
        <w:rPr>
          <w:noProof/>
        </w:rPr>
        <w:fldChar w:fldCharType="separate"/>
      </w:r>
      <w:r w:rsidR="00B20F7E">
        <w:rPr>
          <w:noProof/>
        </w:rPr>
        <w:t>4</w:t>
      </w:r>
      <w:r w:rsidRPr="007C4B78">
        <w:rPr>
          <w:noProof/>
        </w:rPr>
        <w:fldChar w:fldCharType="end"/>
      </w:r>
    </w:p>
    <w:p w14:paraId="071A4740"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Website</w:t>
      </w:r>
      <w:r w:rsidRPr="007C4B78">
        <w:rPr>
          <w:noProof/>
        </w:rPr>
        <w:tab/>
      </w:r>
      <w:r w:rsidRPr="007C4B78">
        <w:rPr>
          <w:noProof/>
        </w:rPr>
        <w:fldChar w:fldCharType="begin"/>
      </w:r>
      <w:r w:rsidRPr="007C4B78">
        <w:rPr>
          <w:noProof/>
        </w:rPr>
        <w:instrText xml:space="preserve"> PAGEREF _Toc417303130 \h </w:instrText>
      </w:r>
      <w:r w:rsidRPr="007C4B78">
        <w:rPr>
          <w:noProof/>
        </w:rPr>
      </w:r>
      <w:r w:rsidRPr="007C4B78">
        <w:rPr>
          <w:noProof/>
        </w:rPr>
        <w:fldChar w:fldCharType="separate"/>
      </w:r>
      <w:r w:rsidR="00B20F7E">
        <w:rPr>
          <w:noProof/>
        </w:rPr>
        <w:t>4</w:t>
      </w:r>
      <w:r w:rsidRPr="007C4B78">
        <w:rPr>
          <w:noProof/>
        </w:rPr>
        <w:fldChar w:fldCharType="end"/>
      </w:r>
    </w:p>
    <w:p w14:paraId="162C17C0"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About the Report</w:t>
      </w:r>
      <w:r w:rsidRPr="007C4B78">
        <w:rPr>
          <w:noProof/>
        </w:rPr>
        <w:tab/>
      </w:r>
      <w:r w:rsidRPr="007C4B78">
        <w:rPr>
          <w:noProof/>
        </w:rPr>
        <w:fldChar w:fldCharType="begin"/>
      </w:r>
      <w:r w:rsidRPr="007C4B78">
        <w:rPr>
          <w:noProof/>
        </w:rPr>
        <w:instrText xml:space="preserve"> PAGEREF _Toc417303131 \h </w:instrText>
      </w:r>
      <w:r w:rsidRPr="007C4B78">
        <w:rPr>
          <w:noProof/>
        </w:rPr>
      </w:r>
      <w:r w:rsidRPr="007C4B78">
        <w:rPr>
          <w:noProof/>
        </w:rPr>
        <w:fldChar w:fldCharType="separate"/>
      </w:r>
      <w:r w:rsidR="00B20F7E">
        <w:rPr>
          <w:noProof/>
        </w:rPr>
        <w:t>4</w:t>
      </w:r>
      <w:r w:rsidRPr="007C4B78">
        <w:rPr>
          <w:noProof/>
        </w:rPr>
        <w:fldChar w:fldCharType="end"/>
      </w:r>
    </w:p>
    <w:p w14:paraId="3497EEC0"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Meaning of Access to Justice</w:t>
      </w:r>
      <w:r w:rsidRPr="007C4B78">
        <w:rPr>
          <w:noProof/>
        </w:rPr>
        <w:tab/>
      </w:r>
      <w:r w:rsidRPr="007C4B78">
        <w:rPr>
          <w:noProof/>
        </w:rPr>
        <w:fldChar w:fldCharType="begin"/>
      </w:r>
      <w:r w:rsidRPr="007C4B78">
        <w:rPr>
          <w:noProof/>
        </w:rPr>
        <w:instrText xml:space="preserve"> PAGEREF _Toc417303132 \h </w:instrText>
      </w:r>
      <w:r w:rsidRPr="007C4B78">
        <w:rPr>
          <w:noProof/>
        </w:rPr>
      </w:r>
      <w:r w:rsidRPr="007C4B78">
        <w:rPr>
          <w:noProof/>
        </w:rPr>
        <w:fldChar w:fldCharType="separate"/>
      </w:r>
      <w:r w:rsidR="00B20F7E">
        <w:rPr>
          <w:noProof/>
        </w:rPr>
        <w:t>5</w:t>
      </w:r>
      <w:r w:rsidRPr="007C4B78">
        <w:rPr>
          <w:noProof/>
        </w:rPr>
        <w:fldChar w:fldCharType="end"/>
      </w:r>
    </w:p>
    <w:p w14:paraId="43AF18F6"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Focus Areas on Access to Justice</w:t>
      </w:r>
      <w:r w:rsidRPr="007C4B78">
        <w:rPr>
          <w:noProof/>
        </w:rPr>
        <w:tab/>
      </w:r>
      <w:r w:rsidRPr="007C4B78">
        <w:rPr>
          <w:noProof/>
        </w:rPr>
        <w:fldChar w:fldCharType="begin"/>
      </w:r>
      <w:r w:rsidRPr="007C4B78">
        <w:rPr>
          <w:noProof/>
        </w:rPr>
        <w:instrText xml:space="preserve"> PAGEREF _Toc417303133 \h </w:instrText>
      </w:r>
      <w:r w:rsidRPr="007C4B78">
        <w:rPr>
          <w:noProof/>
        </w:rPr>
      </w:r>
      <w:r w:rsidRPr="007C4B78">
        <w:rPr>
          <w:noProof/>
        </w:rPr>
        <w:fldChar w:fldCharType="separate"/>
      </w:r>
      <w:r w:rsidR="00B20F7E">
        <w:rPr>
          <w:noProof/>
        </w:rPr>
        <w:t>5</w:t>
      </w:r>
      <w:r w:rsidRPr="007C4B78">
        <w:rPr>
          <w:noProof/>
        </w:rPr>
        <w:fldChar w:fldCharType="end"/>
      </w:r>
    </w:p>
    <w:p w14:paraId="2F5D6DB6"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Methodology</w:t>
      </w:r>
      <w:r w:rsidRPr="007C4B78">
        <w:rPr>
          <w:noProof/>
        </w:rPr>
        <w:tab/>
      </w:r>
      <w:r w:rsidRPr="007C4B78">
        <w:rPr>
          <w:noProof/>
        </w:rPr>
        <w:fldChar w:fldCharType="begin"/>
      </w:r>
      <w:r w:rsidRPr="007C4B78">
        <w:rPr>
          <w:noProof/>
        </w:rPr>
        <w:instrText xml:space="preserve"> PAGEREF _Toc417303134 \h </w:instrText>
      </w:r>
      <w:r w:rsidRPr="007C4B78">
        <w:rPr>
          <w:noProof/>
        </w:rPr>
      </w:r>
      <w:r w:rsidRPr="007C4B78">
        <w:rPr>
          <w:noProof/>
        </w:rPr>
        <w:fldChar w:fldCharType="separate"/>
      </w:r>
      <w:r w:rsidR="00B20F7E">
        <w:rPr>
          <w:noProof/>
        </w:rPr>
        <w:t>6</w:t>
      </w:r>
      <w:r w:rsidRPr="007C4B78">
        <w:rPr>
          <w:noProof/>
        </w:rPr>
        <w:fldChar w:fldCharType="end"/>
      </w:r>
    </w:p>
    <w:p w14:paraId="2E469883" w14:textId="77777777" w:rsidR="003737D9" w:rsidRPr="007C4B78" w:rsidRDefault="003737D9">
      <w:pPr>
        <w:pStyle w:val="TOC1"/>
        <w:tabs>
          <w:tab w:val="right" w:leader="dot" w:pos="8630"/>
        </w:tabs>
        <w:rPr>
          <w:rFonts w:asciiTheme="minorHAnsi" w:eastAsiaTheme="minorEastAsia" w:hAnsiTheme="minorHAnsi" w:cstheme="minorBidi"/>
          <w:b w:val="0"/>
          <w:caps w:val="0"/>
          <w:noProof/>
          <w:u w:val="none"/>
          <w:lang w:val="en-IE" w:eastAsia="en-IE"/>
        </w:rPr>
      </w:pPr>
      <w:r w:rsidRPr="007C4B78">
        <w:rPr>
          <w:noProof/>
        </w:rPr>
        <w:t>Executive Summary and Key Findings</w:t>
      </w:r>
      <w:r w:rsidRPr="007C4B78">
        <w:rPr>
          <w:noProof/>
        </w:rPr>
        <w:tab/>
      </w:r>
      <w:r w:rsidRPr="007C4B78">
        <w:rPr>
          <w:noProof/>
        </w:rPr>
        <w:fldChar w:fldCharType="begin"/>
      </w:r>
      <w:r w:rsidRPr="007C4B78">
        <w:rPr>
          <w:noProof/>
        </w:rPr>
        <w:instrText xml:space="preserve"> PAGEREF _Toc417303135 \h </w:instrText>
      </w:r>
      <w:r w:rsidRPr="007C4B78">
        <w:rPr>
          <w:noProof/>
        </w:rPr>
      </w:r>
      <w:r w:rsidRPr="007C4B78">
        <w:rPr>
          <w:noProof/>
        </w:rPr>
        <w:fldChar w:fldCharType="separate"/>
      </w:r>
      <w:r w:rsidR="00B20F7E">
        <w:rPr>
          <w:noProof/>
        </w:rPr>
        <w:t>7</w:t>
      </w:r>
      <w:r w:rsidRPr="007C4B78">
        <w:rPr>
          <w:noProof/>
        </w:rPr>
        <w:fldChar w:fldCharType="end"/>
      </w:r>
    </w:p>
    <w:p w14:paraId="6555B8AC" w14:textId="77777777" w:rsidR="003737D9" w:rsidRPr="007C4B78" w:rsidRDefault="003737D9">
      <w:pPr>
        <w:pStyle w:val="TOC1"/>
        <w:tabs>
          <w:tab w:val="right" w:leader="dot" w:pos="8630"/>
        </w:tabs>
        <w:rPr>
          <w:rFonts w:asciiTheme="minorHAnsi" w:eastAsiaTheme="minorEastAsia" w:hAnsiTheme="minorHAnsi" w:cstheme="minorBidi"/>
          <w:b w:val="0"/>
          <w:caps w:val="0"/>
          <w:noProof/>
          <w:u w:val="none"/>
          <w:lang w:val="en-IE" w:eastAsia="en-IE"/>
        </w:rPr>
      </w:pPr>
      <w:r w:rsidRPr="007C4B78">
        <w:rPr>
          <w:noProof/>
        </w:rPr>
        <w:t>Background to Rights of Children with Cognitive Disabilities in Ireland</w:t>
      </w:r>
      <w:r w:rsidRPr="007C4B78">
        <w:rPr>
          <w:noProof/>
        </w:rPr>
        <w:tab/>
      </w:r>
      <w:r w:rsidRPr="007C4B78">
        <w:rPr>
          <w:noProof/>
        </w:rPr>
        <w:fldChar w:fldCharType="begin"/>
      </w:r>
      <w:r w:rsidRPr="007C4B78">
        <w:rPr>
          <w:noProof/>
        </w:rPr>
        <w:instrText xml:space="preserve"> PAGEREF _Toc417303136 \h </w:instrText>
      </w:r>
      <w:r w:rsidRPr="007C4B78">
        <w:rPr>
          <w:noProof/>
        </w:rPr>
      </w:r>
      <w:r w:rsidRPr="007C4B78">
        <w:rPr>
          <w:noProof/>
        </w:rPr>
        <w:fldChar w:fldCharType="separate"/>
      </w:r>
      <w:r w:rsidR="00B20F7E">
        <w:rPr>
          <w:noProof/>
        </w:rPr>
        <w:t>9</w:t>
      </w:r>
      <w:r w:rsidRPr="007C4B78">
        <w:rPr>
          <w:noProof/>
        </w:rPr>
        <w:fldChar w:fldCharType="end"/>
      </w:r>
    </w:p>
    <w:p w14:paraId="249A8B95"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International Law</w:t>
      </w:r>
      <w:r w:rsidRPr="007C4B78">
        <w:rPr>
          <w:noProof/>
        </w:rPr>
        <w:tab/>
      </w:r>
      <w:r w:rsidRPr="007C4B78">
        <w:rPr>
          <w:noProof/>
        </w:rPr>
        <w:fldChar w:fldCharType="begin"/>
      </w:r>
      <w:r w:rsidRPr="007C4B78">
        <w:rPr>
          <w:noProof/>
        </w:rPr>
        <w:instrText xml:space="preserve"> PAGEREF _Toc417303137 \h </w:instrText>
      </w:r>
      <w:r w:rsidRPr="007C4B78">
        <w:rPr>
          <w:noProof/>
        </w:rPr>
      </w:r>
      <w:r w:rsidRPr="007C4B78">
        <w:rPr>
          <w:noProof/>
        </w:rPr>
        <w:fldChar w:fldCharType="separate"/>
      </w:r>
      <w:r w:rsidR="00B20F7E">
        <w:rPr>
          <w:noProof/>
        </w:rPr>
        <w:t>9</w:t>
      </w:r>
      <w:r w:rsidRPr="007C4B78">
        <w:rPr>
          <w:noProof/>
        </w:rPr>
        <w:fldChar w:fldCharType="end"/>
      </w:r>
    </w:p>
    <w:p w14:paraId="57E99896"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noProof/>
        </w:rPr>
        <w:t>European Law</w:t>
      </w:r>
      <w:r w:rsidRPr="007C4B78">
        <w:rPr>
          <w:noProof/>
        </w:rPr>
        <w:tab/>
      </w:r>
      <w:r w:rsidRPr="007C4B78">
        <w:rPr>
          <w:noProof/>
        </w:rPr>
        <w:fldChar w:fldCharType="begin"/>
      </w:r>
      <w:r w:rsidRPr="007C4B78">
        <w:rPr>
          <w:noProof/>
        </w:rPr>
        <w:instrText xml:space="preserve"> PAGEREF _Toc417303138 \h </w:instrText>
      </w:r>
      <w:r w:rsidRPr="007C4B78">
        <w:rPr>
          <w:noProof/>
        </w:rPr>
      </w:r>
      <w:r w:rsidRPr="007C4B78">
        <w:rPr>
          <w:noProof/>
        </w:rPr>
        <w:fldChar w:fldCharType="separate"/>
      </w:r>
      <w:r w:rsidR="00B20F7E">
        <w:rPr>
          <w:noProof/>
        </w:rPr>
        <w:t>9</w:t>
      </w:r>
      <w:r w:rsidRPr="007C4B78">
        <w:rPr>
          <w:noProof/>
        </w:rPr>
        <w:fldChar w:fldCharType="end"/>
      </w:r>
    </w:p>
    <w:p w14:paraId="378F9AF1"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Constitutional Rights</w:t>
      </w:r>
      <w:r w:rsidRPr="007C4B78">
        <w:rPr>
          <w:noProof/>
        </w:rPr>
        <w:tab/>
      </w:r>
      <w:r w:rsidRPr="007C4B78">
        <w:rPr>
          <w:noProof/>
        </w:rPr>
        <w:fldChar w:fldCharType="begin"/>
      </w:r>
      <w:r w:rsidRPr="007C4B78">
        <w:rPr>
          <w:noProof/>
        </w:rPr>
        <w:instrText xml:space="preserve"> PAGEREF _Toc417303139 \h </w:instrText>
      </w:r>
      <w:r w:rsidRPr="007C4B78">
        <w:rPr>
          <w:noProof/>
        </w:rPr>
      </w:r>
      <w:r w:rsidRPr="007C4B78">
        <w:rPr>
          <w:noProof/>
        </w:rPr>
        <w:fldChar w:fldCharType="separate"/>
      </w:r>
      <w:r w:rsidR="00B20F7E">
        <w:rPr>
          <w:noProof/>
        </w:rPr>
        <w:t>10</w:t>
      </w:r>
      <w:r w:rsidRPr="007C4B78">
        <w:rPr>
          <w:noProof/>
        </w:rPr>
        <w:fldChar w:fldCharType="end"/>
      </w:r>
    </w:p>
    <w:p w14:paraId="1B37F156"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Discrimination Law</w:t>
      </w:r>
      <w:r w:rsidRPr="007C4B78">
        <w:rPr>
          <w:noProof/>
        </w:rPr>
        <w:tab/>
      </w:r>
      <w:r w:rsidRPr="007C4B78">
        <w:rPr>
          <w:noProof/>
        </w:rPr>
        <w:fldChar w:fldCharType="begin"/>
      </w:r>
      <w:r w:rsidRPr="007C4B78">
        <w:rPr>
          <w:noProof/>
        </w:rPr>
        <w:instrText xml:space="preserve"> PAGEREF _Toc417303140 \h </w:instrText>
      </w:r>
      <w:r w:rsidRPr="007C4B78">
        <w:rPr>
          <w:noProof/>
        </w:rPr>
      </w:r>
      <w:r w:rsidRPr="007C4B78">
        <w:rPr>
          <w:noProof/>
        </w:rPr>
        <w:fldChar w:fldCharType="separate"/>
      </w:r>
      <w:r w:rsidR="00B20F7E">
        <w:rPr>
          <w:noProof/>
        </w:rPr>
        <w:t>10</w:t>
      </w:r>
      <w:r w:rsidRPr="007C4B78">
        <w:rPr>
          <w:noProof/>
        </w:rPr>
        <w:fldChar w:fldCharType="end"/>
      </w:r>
    </w:p>
    <w:p w14:paraId="4C32254A"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Policy Guidance on Children’s Rights</w:t>
      </w:r>
      <w:r w:rsidRPr="007C4B78">
        <w:rPr>
          <w:noProof/>
        </w:rPr>
        <w:tab/>
      </w:r>
      <w:r w:rsidRPr="007C4B78">
        <w:rPr>
          <w:noProof/>
        </w:rPr>
        <w:fldChar w:fldCharType="begin"/>
      </w:r>
      <w:r w:rsidRPr="007C4B78">
        <w:rPr>
          <w:noProof/>
        </w:rPr>
        <w:instrText xml:space="preserve"> PAGEREF _Toc417303141 \h </w:instrText>
      </w:r>
      <w:r w:rsidRPr="007C4B78">
        <w:rPr>
          <w:noProof/>
        </w:rPr>
      </w:r>
      <w:r w:rsidRPr="007C4B78">
        <w:rPr>
          <w:noProof/>
        </w:rPr>
        <w:fldChar w:fldCharType="separate"/>
      </w:r>
      <w:r w:rsidR="00B20F7E">
        <w:rPr>
          <w:noProof/>
        </w:rPr>
        <w:t>10</w:t>
      </w:r>
      <w:r w:rsidRPr="007C4B78">
        <w:rPr>
          <w:noProof/>
        </w:rPr>
        <w:fldChar w:fldCharType="end"/>
      </w:r>
    </w:p>
    <w:p w14:paraId="3ACD78CD"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New and On-going Developments</w:t>
      </w:r>
      <w:r w:rsidRPr="007C4B78">
        <w:rPr>
          <w:noProof/>
        </w:rPr>
        <w:tab/>
      </w:r>
      <w:r w:rsidRPr="007C4B78">
        <w:rPr>
          <w:noProof/>
        </w:rPr>
        <w:fldChar w:fldCharType="begin"/>
      </w:r>
      <w:r w:rsidRPr="007C4B78">
        <w:rPr>
          <w:noProof/>
        </w:rPr>
        <w:instrText xml:space="preserve"> PAGEREF _Toc417303142 \h </w:instrText>
      </w:r>
      <w:r w:rsidRPr="007C4B78">
        <w:rPr>
          <w:noProof/>
        </w:rPr>
      </w:r>
      <w:r w:rsidRPr="007C4B78">
        <w:rPr>
          <w:noProof/>
        </w:rPr>
        <w:fldChar w:fldCharType="separate"/>
      </w:r>
      <w:r w:rsidR="00B20F7E">
        <w:rPr>
          <w:noProof/>
        </w:rPr>
        <w:t>11</w:t>
      </w:r>
      <w:r w:rsidRPr="007C4B78">
        <w:rPr>
          <w:noProof/>
        </w:rPr>
        <w:fldChar w:fldCharType="end"/>
      </w:r>
    </w:p>
    <w:p w14:paraId="77A0200B"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Children’s Rights Amendment/31</w:t>
      </w:r>
      <w:r w:rsidRPr="007C4B78">
        <w:rPr>
          <w:noProof/>
          <w:vertAlign w:val="superscript"/>
        </w:rPr>
        <w:t>st</w:t>
      </w:r>
      <w:r w:rsidRPr="007C4B78">
        <w:rPr>
          <w:noProof/>
        </w:rPr>
        <w:t xml:space="preserve"> Amendment</w:t>
      </w:r>
      <w:r w:rsidRPr="007C4B78">
        <w:rPr>
          <w:noProof/>
        </w:rPr>
        <w:tab/>
      </w:r>
      <w:r w:rsidRPr="007C4B78">
        <w:rPr>
          <w:noProof/>
        </w:rPr>
        <w:fldChar w:fldCharType="begin"/>
      </w:r>
      <w:r w:rsidRPr="007C4B78">
        <w:rPr>
          <w:noProof/>
        </w:rPr>
        <w:instrText xml:space="preserve"> PAGEREF _Toc417303143 \h </w:instrText>
      </w:r>
      <w:r w:rsidRPr="007C4B78">
        <w:rPr>
          <w:noProof/>
        </w:rPr>
      </w:r>
      <w:r w:rsidRPr="007C4B78">
        <w:rPr>
          <w:noProof/>
        </w:rPr>
        <w:fldChar w:fldCharType="separate"/>
      </w:r>
      <w:r w:rsidR="00B20F7E">
        <w:rPr>
          <w:noProof/>
        </w:rPr>
        <w:t>12</w:t>
      </w:r>
      <w:r w:rsidRPr="007C4B78">
        <w:rPr>
          <w:noProof/>
        </w:rPr>
        <w:fldChar w:fldCharType="end"/>
      </w:r>
    </w:p>
    <w:p w14:paraId="54FA4273"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Tusla and the Child and Family Agency Act</w:t>
      </w:r>
      <w:r w:rsidRPr="007C4B78">
        <w:rPr>
          <w:noProof/>
        </w:rPr>
        <w:tab/>
      </w:r>
      <w:r w:rsidRPr="007C4B78">
        <w:rPr>
          <w:noProof/>
        </w:rPr>
        <w:fldChar w:fldCharType="begin"/>
      </w:r>
      <w:r w:rsidRPr="007C4B78">
        <w:rPr>
          <w:noProof/>
        </w:rPr>
        <w:instrText xml:space="preserve"> PAGEREF _Toc417303144 \h </w:instrText>
      </w:r>
      <w:r w:rsidRPr="007C4B78">
        <w:rPr>
          <w:noProof/>
        </w:rPr>
      </w:r>
      <w:r w:rsidRPr="007C4B78">
        <w:rPr>
          <w:noProof/>
        </w:rPr>
        <w:fldChar w:fldCharType="separate"/>
      </w:r>
      <w:r w:rsidR="00B20F7E">
        <w:rPr>
          <w:noProof/>
        </w:rPr>
        <w:t>13</w:t>
      </w:r>
      <w:r w:rsidRPr="007C4B78">
        <w:rPr>
          <w:noProof/>
        </w:rPr>
        <w:fldChar w:fldCharType="end"/>
      </w:r>
    </w:p>
    <w:p w14:paraId="1FD42ABE"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Children and Family Relationships Act</w:t>
      </w:r>
      <w:r w:rsidRPr="007C4B78">
        <w:rPr>
          <w:noProof/>
        </w:rPr>
        <w:tab/>
      </w:r>
      <w:r w:rsidRPr="007C4B78">
        <w:rPr>
          <w:noProof/>
        </w:rPr>
        <w:fldChar w:fldCharType="begin"/>
      </w:r>
      <w:r w:rsidRPr="007C4B78">
        <w:rPr>
          <w:noProof/>
        </w:rPr>
        <w:instrText xml:space="preserve"> PAGEREF _Toc417303145 \h </w:instrText>
      </w:r>
      <w:r w:rsidRPr="007C4B78">
        <w:rPr>
          <w:noProof/>
        </w:rPr>
      </w:r>
      <w:r w:rsidRPr="007C4B78">
        <w:rPr>
          <w:noProof/>
        </w:rPr>
        <w:fldChar w:fldCharType="separate"/>
      </w:r>
      <w:r w:rsidR="00B20F7E">
        <w:rPr>
          <w:noProof/>
        </w:rPr>
        <w:t>13</w:t>
      </w:r>
      <w:r w:rsidRPr="007C4B78">
        <w:rPr>
          <w:noProof/>
        </w:rPr>
        <w:fldChar w:fldCharType="end"/>
      </w:r>
    </w:p>
    <w:p w14:paraId="29788342" w14:textId="77777777" w:rsidR="003737D9" w:rsidRPr="007C4B78" w:rsidRDefault="003737D9">
      <w:pPr>
        <w:pStyle w:val="TOC1"/>
        <w:tabs>
          <w:tab w:val="right" w:leader="dot" w:pos="8630"/>
        </w:tabs>
        <w:rPr>
          <w:rFonts w:asciiTheme="minorHAnsi" w:eastAsiaTheme="minorEastAsia" w:hAnsiTheme="minorHAnsi" w:cstheme="minorBidi"/>
          <w:b w:val="0"/>
          <w:caps w:val="0"/>
          <w:noProof/>
          <w:u w:val="none"/>
          <w:lang w:val="en-IE" w:eastAsia="en-IE"/>
        </w:rPr>
      </w:pPr>
      <w:r w:rsidRPr="007C4B78">
        <w:rPr>
          <w:noProof/>
        </w:rPr>
        <w:t>Education</w:t>
      </w:r>
      <w:r w:rsidRPr="007C4B78">
        <w:rPr>
          <w:noProof/>
        </w:rPr>
        <w:tab/>
      </w:r>
      <w:r w:rsidRPr="007C4B78">
        <w:rPr>
          <w:noProof/>
        </w:rPr>
        <w:fldChar w:fldCharType="begin"/>
      </w:r>
      <w:r w:rsidRPr="007C4B78">
        <w:rPr>
          <w:noProof/>
        </w:rPr>
        <w:instrText xml:space="preserve"> PAGEREF _Toc417303146 \h </w:instrText>
      </w:r>
      <w:r w:rsidRPr="007C4B78">
        <w:rPr>
          <w:noProof/>
        </w:rPr>
      </w:r>
      <w:r w:rsidRPr="007C4B78">
        <w:rPr>
          <w:noProof/>
        </w:rPr>
        <w:fldChar w:fldCharType="separate"/>
      </w:r>
      <w:r w:rsidR="00B20F7E">
        <w:rPr>
          <w:noProof/>
        </w:rPr>
        <w:t>14</w:t>
      </w:r>
      <w:r w:rsidRPr="007C4B78">
        <w:rPr>
          <w:noProof/>
        </w:rPr>
        <w:fldChar w:fldCharType="end"/>
      </w:r>
    </w:p>
    <w:p w14:paraId="0F50325A"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History of relevant laws and policies relating to education and access to justice</w:t>
      </w:r>
      <w:r w:rsidRPr="007C4B78">
        <w:rPr>
          <w:noProof/>
        </w:rPr>
        <w:tab/>
      </w:r>
      <w:r w:rsidRPr="007C4B78">
        <w:rPr>
          <w:noProof/>
        </w:rPr>
        <w:fldChar w:fldCharType="begin"/>
      </w:r>
      <w:r w:rsidRPr="007C4B78">
        <w:rPr>
          <w:noProof/>
        </w:rPr>
        <w:instrText xml:space="preserve"> PAGEREF _Toc417303147 \h </w:instrText>
      </w:r>
      <w:r w:rsidRPr="007C4B78">
        <w:rPr>
          <w:noProof/>
        </w:rPr>
      </w:r>
      <w:r w:rsidRPr="007C4B78">
        <w:rPr>
          <w:noProof/>
        </w:rPr>
        <w:fldChar w:fldCharType="separate"/>
      </w:r>
      <w:r w:rsidR="00B20F7E">
        <w:rPr>
          <w:noProof/>
        </w:rPr>
        <w:t>14</w:t>
      </w:r>
      <w:r w:rsidRPr="007C4B78">
        <w:rPr>
          <w:noProof/>
        </w:rPr>
        <w:fldChar w:fldCharType="end"/>
      </w:r>
    </w:p>
    <w:p w14:paraId="12A86317"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Barriers</w:t>
      </w:r>
      <w:r w:rsidRPr="007C4B78">
        <w:rPr>
          <w:noProof/>
        </w:rPr>
        <w:tab/>
      </w:r>
      <w:r w:rsidRPr="007C4B78">
        <w:rPr>
          <w:noProof/>
        </w:rPr>
        <w:fldChar w:fldCharType="begin"/>
      </w:r>
      <w:r w:rsidRPr="007C4B78">
        <w:rPr>
          <w:noProof/>
        </w:rPr>
        <w:instrText xml:space="preserve"> PAGEREF _Toc417303148 \h </w:instrText>
      </w:r>
      <w:r w:rsidRPr="007C4B78">
        <w:rPr>
          <w:noProof/>
        </w:rPr>
      </w:r>
      <w:r w:rsidRPr="007C4B78">
        <w:rPr>
          <w:noProof/>
        </w:rPr>
        <w:fldChar w:fldCharType="separate"/>
      </w:r>
      <w:r w:rsidR="00B20F7E">
        <w:rPr>
          <w:noProof/>
        </w:rPr>
        <w:t>15</w:t>
      </w:r>
      <w:r w:rsidRPr="007C4B78">
        <w:rPr>
          <w:noProof/>
        </w:rPr>
        <w:fldChar w:fldCharType="end"/>
      </w:r>
    </w:p>
    <w:p w14:paraId="60EE2C44"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What Access to Justice for Children with Cognitive Disabilities Should Look Like in Education Settings in Ireland</w:t>
      </w:r>
      <w:r w:rsidRPr="007C4B78">
        <w:rPr>
          <w:noProof/>
        </w:rPr>
        <w:tab/>
      </w:r>
      <w:r w:rsidRPr="007C4B78">
        <w:rPr>
          <w:noProof/>
        </w:rPr>
        <w:fldChar w:fldCharType="begin"/>
      </w:r>
      <w:r w:rsidRPr="007C4B78">
        <w:rPr>
          <w:noProof/>
        </w:rPr>
        <w:instrText xml:space="preserve"> PAGEREF _Toc417303149 \h </w:instrText>
      </w:r>
      <w:r w:rsidRPr="007C4B78">
        <w:rPr>
          <w:noProof/>
        </w:rPr>
      </w:r>
      <w:r w:rsidRPr="007C4B78">
        <w:rPr>
          <w:noProof/>
        </w:rPr>
        <w:fldChar w:fldCharType="separate"/>
      </w:r>
      <w:r w:rsidR="00B20F7E">
        <w:rPr>
          <w:noProof/>
        </w:rPr>
        <w:t>17</w:t>
      </w:r>
      <w:r w:rsidRPr="007C4B78">
        <w:rPr>
          <w:noProof/>
        </w:rPr>
        <w:fldChar w:fldCharType="end"/>
      </w:r>
    </w:p>
    <w:p w14:paraId="2C250E69" w14:textId="77777777" w:rsidR="003737D9" w:rsidRPr="007C4B78" w:rsidRDefault="003737D9">
      <w:pPr>
        <w:pStyle w:val="TOC1"/>
        <w:tabs>
          <w:tab w:val="right" w:leader="dot" w:pos="8630"/>
        </w:tabs>
        <w:rPr>
          <w:rFonts w:asciiTheme="minorHAnsi" w:eastAsiaTheme="minorEastAsia" w:hAnsiTheme="minorHAnsi" w:cstheme="minorBidi"/>
          <w:b w:val="0"/>
          <w:caps w:val="0"/>
          <w:noProof/>
          <w:u w:val="none"/>
          <w:lang w:val="en-IE" w:eastAsia="en-IE"/>
        </w:rPr>
      </w:pPr>
      <w:r w:rsidRPr="007C4B78">
        <w:rPr>
          <w:noProof/>
        </w:rPr>
        <w:t>Care and Custody Proceedings</w:t>
      </w:r>
      <w:r w:rsidRPr="007C4B78">
        <w:rPr>
          <w:noProof/>
        </w:rPr>
        <w:tab/>
      </w:r>
      <w:r w:rsidRPr="007C4B78">
        <w:rPr>
          <w:noProof/>
        </w:rPr>
        <w:fldChar w:fldCharType="begin"/>
      </w:r>
      <w:r w:rsidRPr="007C4B78">
        <w:rPr>
          <w:noProof/>
        </w:rPr>
        <w:instrText xml:space="preserve"> PAGEREF _Toc417303150 \h </w:instrText>
      </w:r>
      <w:r w:rsidRPr="007C4B78">
        <w:rPr>
          <w:noProof/>
        </w:rPr>
      </w:r>
      <w:r w:rsidRPr="007C4B78">
        <w:rPr>
          <w:noProof/>
        </w:rPr>
        <w:fldChar w:fldCharType="separate"/>
      </w:r>
      <w:r w:rsidR="00B20F7E">
        <w:rPr>
          <w:noProof/>
        </w:rPr>
        <w:t>18</w:t>
      </w:r>
      <w:r w:rsidRPr="007C4B78">
        <w:rPr>
          <w:noProof/>
        </w:rPr>
        <w:fldChar w:fldCharType="end"/>
      </w:r>
    </w:p>
    <w:p w14:paraId="24A6A697"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Background Information</w:t>
      </w:r>
      <w:r w:rsidRPr="007C4B78">
        <w:rPr>
          <w:noProof/>
        </w:rPr>
        <w:tab/>
      </w:r>
      <w:r w:rsidRPr="007C4B78">
        <w:rPr>
          <w:noProof/>
        </w:rPr>
        <w:fldChar w:fldCharType="begin"/>
      </w:r>
      <w:r w:rsidRPr="007C4B78">
        <w:rPr>
          <w:noProof/>
        </w:rPr>
        <w:instrText xml:space="preserve"> PAGEREF _Toc417303151 \h </w:instrText>
      </w:r>
      <w:r w:rsidRPr="007C4B78">
        <w:rPr>
          <w:noProof/>
        </w:rPr>
      </w:r>
      <w:r w:rsidRPr="007C4B78">
        <w:rPr>
          <w:noProof/>
        </w:rPr>
        <w:fldChar w:fldCharType="separate"/>
      </w:r>
      <w:r w:rsidR="00B20F7E">
        <w:rPr>
          <w:noProof/>
        </w:rPr>
        <w:t>18</w:t>
      </w:r>
      <w:r w:rsidRPr="007C4B78">
        <w:rPr>
          <w:noProof/>
        </w:rPr>
        <w:fldChar w:fldCharType="end"/>
      </w:r>
    </w:p>
    <w:p w14:paraId="2851BD88"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Brief history of relevant laws and policies relating to care and custody and access to justice</w:t>
      </w:r>
      <w:r w:rsidRPr="007C4B78">
        <w:rPr>
          <w:noProof/>
        </w:rPr>
        <w:tab/>
      </w:r>
      <w:r w:rsidRPr="007C4B78">
        <w:rPr>
          <w:noProof/>
        </w:rPr>
        <w:fldChar w:fldCharType="begin"/>
      </w:r>
      <w:r w:rsidRPr="007C4B78">
        <w:rPr>
          <w:noProof/>
        </w:rPr>
        <w:instrText xml:space="preserve"> PAGEREF _Toc417303152 \h </w:instrText>
      </w:r>
      <w:r w:rsidRPr="007C4B78">
        <w:rPr>
          <w:noProof/>
        </w:rPr>
      </w:r>
      <w:r w:rsidRPr="007C4B78">
        <w:rPr>
          <w:noProof/>
        </w:rPr>
        <w:fldChar w:fldCharType="separate"/>
      </w:r>
      <w:r w:rsidR="00B20F7E">
        <w:rPr>
          <w:noProof/>
        </w:rPr>
        <w:t>19</w:t>
      </w:r>
      <w:r w:rsidRPr="007C4B78">
        <w:rPr>
          <w:noProof/>
        </w:rPr>
        <w:fldChar w:fldCharType="end"/>
      </w:r>
    </w:p>
    <w:p w14:paraId="62E0D99B"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Relevant laws and policies</w:t>
      </w:r>
      <w:r w:rsidRPr="007C4B78">
        <w:rPr>
          <w:noProof/>
        </w:rPr>
        <w:tab/>
      </w:r>
      <w:r w:rsidRPr="007C4B78">
        <w:rPr>
          <w:noProof/>
        </w:rPr>
        <w:fldChar w:fldCharType="begin"/>
      </w:r>
      <w:r w:rsidRPr="007C4B78">
        <w:rPr>
          <w:noProof/>
        </w:rPr>
        <w:instrText xml:space="preserve"> PAGEREF _Toc417303153 \h </w:instrText>
      </w:r>
      <w:r w:rsidRPr="007C4B78">
        <w:rPr>
          <w:noProof/>
        </w:rPr>
      </w:r>
      <w:r w:rsidRPr="007C4B78">
        <w:rPr>
          <w:noProof/>
        </w:rPr>
        <w:fldChar w:fldCharType="separate"/>
      </w:r>
      <w:r w:rsidR="00B20F7E">
        <w:rPr>
          <w:noProof/>
        </w:rPr>
        <w:t>21</w:t>
      </w:r>
      <w:r w:rsidRPr="007C4B78">
        <w:rPr>
          <w:noProof/>
        </w:rPr>
        <w:fldChar w:fldCharType="end"/>
      </w:r>
    </w:p>
    <w:p w14:paraId="6708E8EC"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Care Proceedings</w:t>
      </w:r>
      <w:r w:rsidRPr="007C4B78">
        <w:rPr>
          <w:noProof/>
        </w:rPr>
        <w:tab/>
      </w:r>
      <w:r w:rsidRPr="007C4B78">
        <w:rPr>
          <w:noProof/>
        </w:rPr>
        <w:fldChar w:fldCharType="begin"/>
      </w:r>
      <w:r w:rsidRPr="007C4B78">
        <w:rPr>
          <w:noProof/>
        </w:rPr>
        <w:instrText xml:space="preserve"> PAGEREF _Toc417303154 \h </w:instrText>
      </w:r>
      <w:r w:rsidRPr="007C4B78">
        <w:rPr>
          <w:noProof/>
        </w:rPr>
      </w:r>
      <w:r w:rsidRPr="007C4B78">
        <w:rPr>
          <w:noProof/>
        </w:rPr>
        <w:fldChar w:fldCharType="separate"/>
      </w:r>
      <w:r w:rsidR="00B20F7E">
        <w:rPr>
          <w:noProof/>
        </w:rPr>
        <w:t>21</w:t>
      </w:r>
      <w:r w:rsidRPr="007C4B78">
        <w:rPr>
          <w:noProof/>
        </w:rPr>
        <w:fldChar w:fldCharType="end"/>
      </w:r>
    </w:p>
    <w:p w14:paraId="5BDC88DD"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Guardianship and Custody Hearings</w:t>
      </w:r>
      <w:r w:rsidRPr="007C4B78">
        <w:rPr>
          <w:noProof/>
        </w:rPr>
        <w:tab/>
      </w:r>
      <w:r w:rsidRPr="007C4B78">
        <w:rPr>
          <w:noProof/>
        </w:rPr>
        <w:fldChar w:fldCharType="begin"/>
      </w:r>
      <w:r w:rsidRPr="007C4B78">
        <w:rPr>
          <w:noProof/>
        </w:rPr>
        <w:instrText xml:space="preserve"> PAGEREF _Toc417303155 \h </w:instrText>
      </w:r>
      <w:r w:rsidRPr="007C4B78">
        <w:rPr>
          <w:noProof/>
        </w:rPr>
      </w:r>
      <w:r w:rsidRPr="007C4B78">
        <w:rPr>
          <w:noProof/>
        </w:rPr>
        <w:fldChar w:fldCharType="separate"/>
      </w:r>
      <w:r w:rsidR="00B20F7E">
        <w:rPr>
          <w:noProof/>
        </w:rPr>
        <w:t>28</w:t>
      </w:r>
      <w:r w:rsidRPr="007C4B78">
        <w:rPr>
          <w:noProof/>
        </w:rPr>
        <w:fldChar w:fldCharType="end"/>
      </w:r>
    </w:p>
    <w:p w14:paraId="367B6C0A"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Laws and Policies</w:t>
      </w:r>
      <w:r w:rsidRPr="007C4B78">
        <w:rPr>
          <w:noProof/>
        </w:rPr>
        <w:tab/>
      </w:r>
      <w:r w:rsidRPr="007C4B78">
        <w:rPr>
          <w:noProof/>
        </w:rPr>
        <w:fldChar w:fldCharType="begin"/>
      </w:r>
      <w:r w:rsidRPr="007C4B78">
        <w:rPr>
          <w:noProof/>
        </w:rPr>
        <w:instrText xml:space="preserve"> PAGEREF _Toc417303156 \h </w:instrText>
      </w:r>
      <w:r w:rsidRPr="007C4B78">
        <w:rPr>
          <w:noProof/>
        </w:rPr>
      </w:r>
      <w:r w:rsidRPr="007C4B78">
        <w:rPr>
          <w:noProof/>
        </w:rPr>
        <w:fldChar w:fldCharType="separate"/>
      </w:r>
      <w:r w:rsidR="00B20F7E">
        <w:rPr>
          <w:noProof/>
        </w:rPr>
        <w:t>28</w:t>
      </w:r>
      <w:r w:rsidRPr="007C4B78">
        <w:rPr>
          <w:noProof/>
        </w:rPr>
        <w:fldChar w:fldCharType="end"/>
      </w:r>
    </w:p>
    <w:p w14:paraId="37EC88BC"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What would access to justice look like in custody and care proceedings?</w:t>
      </w:r>
      <w:r w:rsidRPr="007C4B78">
        <w:rPr>
          <w:noProof/>
        </w:rPr>
        <w:tab/>
      </w:r>
      <w:r w:rsidRPr="007C4B78">
        <w:rPr>
          <w:noProof/>
        </w:rPr>
        <w:fldChar w:fldCharType="begin"/>
      </w:r>
      <w:r w:rsidRPr="007C4B78">
        <w:rPr>
          <w:noProof/>
        </w:rPr>
        <w:instrText xml:space="preserve"> PAGEREF _Toc417303157 \h </w:instrText>
      </w:r>
      <w:r w:rsidRPr="007C4B78">
        <w:rPr>
          <w:noProof/>
        </w:rPr>
      </w:r>
      <w:r w:rsidRPr="007C4B78">
        <w:rPr>
          <w:noProof/>
        </w:rPr>
        <w:fldChar w:fldCharType="separate"/>
      </w:r>
      <w:r w:rsidR="00B20F7E">
        <w:rPr>
          <w:noProof/>
        </w:rPr>
        <w:t>30</w:t>
      </w:r>
      <w:r w:rsidRPr="007C4B78">
        <w:rPr>
          <w:noProof/>
        </w:rPr>
        <w:fldChar w:fldCharType="end"/>
      </w:r>
    </w:p>
    <w:p w14:paraId="08466A9E"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Detention under the Mental Health Act 2001</w:t>
      </w:r>
      <w:r w:rsidRPr="007C4B78">
        <w:rPr>
          <w:noProof/>
        </w:rPr>
        <w:tab/>
      </w:r>
      <w:r w:rsidRPr="007C4B78">
        <w:rPr>
          <w:noProof/>
        </w:rPr>
        <w:fldChar w:fldCharType="begin"/>
      </w:r>
      <w:r w:rsidRPr="007C4B78">
        <w:rPr>
          <w:noProof/>
        </w:rPr>
        <w:instrText xml:space="preserve"> PAGEREF _Toc417303158 \h </w:instrText>
      </w:r>
      <w:r w:rsidRPr="007C4B78">
        <w:rPr>
          <w:noProof/>
        </w:rPr>
      </w:r>
      <w:r w:rsidRPr="007C4B78">
        <w:rPr>
          <w:noProof/>
        </w:rPr>
        <w:fldChar w:fldCharType="separate"/>
      </w:r>
      <w:r w:rsidR="00B20F7E">
        <w:rPr>
          <w:noProof/>
        </w:rPr>
        <w:t>31</w:t>
      </w:r>
      <w:r w:rsidRPr="007C4B78">
        <w:rPr>
          <w:noProof/>
        </w:rPr>
        <w:fldChar w:fldCharType="end"/>
      </w:r>
    </w:p>
    <w:p w14:paraId="1074EC78"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Laws and Policies</w:t>
      </w:r>
      <w:r w:rsidRPr="007C4B78">
        <w:rPr>
          <w:noProof/>
        </w:rPr>
        <w:tab/>
      </w:r>
      <w:r w:rsidRPr="007C4B78">
        <w:rPr>
          <w:noProof/>
        </w:rPr>
        <w:fldChar w:fldCharType="begin"/>
      </w:r>
      <w:r w:rsidRPr="007C4B78">
        <w:rPr>
          <w:noProof/>
        </w:rPr>
        <w:instrText xml:space="preserve"> PAGEREF _Toc417303159 \h </w:instrText>
      </w:r>
      <w:r w:rsidRPr="007C4B78">
        <w:rPr>
          <w:noProof/>
        </w:rPr>
      </w:r>
      <w:r w:rsidRPr="007C4B78">
        <w:rPr>
          <w:noProof/>
        </w:rPr>
        <w:fldChar w:fldCharType="separate"/>
      </w:r>
      <w:r w:rsidR="00B20F7E">
        <w:rPr>
          <w:noProof/>
        </w:rPr>
        <w:t>31</w:t>
      </w:r>
      <w:r w:rsidRPr="007C4B78">
        <w:rPr>
          <w:noProof/>
        </w:rPr>
        <w:fldChar w:fldCharType="end"/>
      </w:r>
    </w:p>
    <w:p w14:paraId="70A06C7E"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What would access to justice look like in Mental Health Detention Cases?</w:t>
      </w:r>
      <w:r w:rsidRPr="007C4B78">
        <w:rPr>
          <w:noProof/>
        </w:rPr>
        <w:tab/>
      </w:r>
      <w:r w:rsidRPr="007C4B78">
        <w:rPr>
          <w:noProof/>
        </w:rPr>
        <w:fldChar w:fldCharType="begin"/>
      </w:r>
      <w:r w:rsidRPr="007C4B78">
        <w:rPr>
          <w:noProof/>
        </w:rPr>
        <w:instrText xml:space="preserve"> PAGEREF _Toc417303160 \h </w:instrText>
      </w:r>
      <w:r w:rsidRPr="007C4B78">
        <w:rPr>
          <w:noProof/>
        </w:rPr>
      </w:r>
      <w:r w:rsidRPr="007C4B78">
        <w:rPr>
          <w:noProof/>
        </w:rPr>
        <w:fldChar w:fldCharType="separate"/>
      </w:r>
      <w:r w:rsidR="00B20F7E">
        <w:rPr>
          <w:noProof/>
        </w:rPr>
        <w:t>32</w:t>
      </w:r>
      <w:r w:rsidRPr="007C4B78">
        <w:rPr>
          <w:noProof/>
        </w:rPr>
        <w:fldChar w:fldCharType="end"/>
      </w:r>
    </w:p>
    <w:p w14:paraId="556F00C1" w14:textId="77777777" w:rsidR="003737D9" w:rsidRPr="007C4B78" w:rsidRDefault="003737D9">
      <w:pPr>
        <w:pStyle w:val="TOC1"/>
        <w:tabs>
          <w:tab w:val="right" w:leader="dot" w:pos="8630"/>
        </w:tabs>
        <w:rPr>
          <w:rFonts w:asciiTheme="minorHAnsi" w:eastAsiaTheme="minorEastAsia" w:hAnsiTheme="minorHAnsi" w:cstheme="minorBidi"/>
          <w:b w:val="0"/>
          <w:caps w:val="0"/>
          <w:noProof/>
          <w:u w:val="none"/>
          <w:lang w:val="en-IE" w:eastAsia="en-IE"/>
        </w:rPr>
      </w:pPr>
      <w:r w:rsidRPr="007C4B78">
        <w:rPr>
          <w:noProof/>
        </w:rPr>
        <w:t>Criminal Justice</w:t>
      </w:r>
      <w:r w:rsidRPr="007C4B78">
        <w:rPr>
          <w:noProof/>
        </w:rPr>
        <w:tab/>
      </w:r>
      <w:r w:rsidRPr="007C4B78">
        <w:rPr>
          <w:noProof/>
        </w:rPr>
        <w:fldChar w:fldCharType="begin"/>
      </w:r>
      <w:r w:rsidRPr="007C4B78">
        <w:rPr>
          <w:noProof/>
        </w:rPr>
        <w:instrText xml:space="preserve"> PAGEREF _Toc417303161 \h </w:instrText>
      </w:r>
      <w:r w:rsidRPr="007C4B78">
        <w:rPr>
          <w:noProof/>
        </w:rPr>
      </w:r>
      <w:r w:rsidRPr="007C4B78">
        <w:rPr>
          <w:noProof/>
        </w:rPr>
        <w:fldChar w:fldCharType="separate"/>
      </w:r>
      <w:r w:rsidR="00B20F7E">
        <w:rPr>
          <w:noProof/>
        </w:rPr>
        <w:t>32</w:t>
      </w:r>
      <w:r w:rsidRPr="007C4B78">
        <w:rPr>
          <w:noProof/>
        </w:rPr>
        <w:fldChar w:fldCharType="end"/>
      </w:r>
    </w:p>
    <w:p w14:paraId="1E7CC402"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Victims and Witnesses</w:t>
      </w:r>
      <w:r w:rsidRPr="007C4B78">
        <w:rPr>
          <w:noProof/>
        </w:rPr>
        <w:tab/>
      </w:r>
      <w:r w:rsidRPr="007C4B78">
        <w:rPr>
          <w:noProof/>
        </w:rPr>
        <w:fldChar w:fldCharType="begin"/>
      </w:r>
      <w:r w:rsidRPr="007C4B78">
        <w:rPr>
          <w:noProof/>
        </w:rPr>
        <w:instrText xml:space="preserve"> PAGEREF _Toc417303162 \h </w:instrText>
      </w:r>
      <w:r w:rsidRPr="007C4B78">
        <w:rPr>
          <w:noProof/>
        </w:rPr>
      </w:r>
      <w:r w:rsidRPr="007C4B78">
        <w:rPr>
          <w:noProof/>
        </w:rPr>
        <w:fldChar w:fldCharType="separate"/>
      </w:r>
      <w:r w:rsidR="00B20F7E">
        <w:rPr>
          <w:noProof/>
        </w:rPr>
        <w:t>33</w:t>
      </w:r>
      <w:r w:rsidRPr="007C4B78">
        <w:rPr>
          <w:noProof/>
        </w:rPr>
        <w:fldChar w:fldCharType="end"/>
      </w:r>
    </w:p>
    <w:p w14:paraId="337836AD"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Brief Background and History on Victims with Cognitive Disabilities</w:t>
      </w:r>
      <w:r w:rsidRPr="007C4B78">
        <w:rPr>
          <w:noProof/>
        </w:rPr>
        <w:tab/>
      </w:r>
      <w:r w:rsidRPr="007C4B78">
        <w:rPr>
          <w:noProof/>
        </w:rPr>
        <w:fldChar w:fldCharType="begin"/>
      </w:r>
      <w:r w:rsidRPr="007C4B78">
        <w:rPr>
          <w:noProof/>
        </w:rPr>
        <w:instrText xml:space="preserve"> PAGEREF _Toc417303163 \h </w:instrText>
      </w:r>
      <w:r w:rsidRPr="007C4B78">
        <w:rPr>
          <w:noProof/>
        </w:rPr>
      </w:r>
      <w:r w:rsidRPr="007C4B78">
        <w:rPr>
          <w:noProof/>
        </w:rPr>
        <w:fldChar w:fldCharType="separate"/>
      </w:r>
      <w:r w:rsidR="00B20F7E">
        <w:rPr>
          <w:noProof/>
        </w:rPr>
        <w:t>33</w:t>
      </w:r>
      <w:r w:rsidRPr="007C4B78">
        <w:rPr>
          <w:noProof/>
        </w:rPr>
        <w:fldChar w:fldCharType="end"/>
      </w:r>
    </w:p>
    <w:p w14:paraId="25D65C4C"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Relevant Laws and Policies</w:t>
      </w:r>
      <w:r w:rsidRPr="007C4B78">
        <w:rPr>
          <w:noProof/>
        </w:rPr>
        <w:tab/>
      </w:r>
      <w:r w:rsidRPr="007C4B78">
        <w:rPr>
          <w:noProof/>
        </w:rPr>
        <w:fldChar w:fldCharType="begin"/>
      </w:r>
      <w:r w:rsidRPr="007C4B78">
        <w:rPr>
          <w:noProof/>
        </w:rPr>
        <w:instrText xml:space="preserve"> PAGEREF _Toc417303164 \h </w:instrText>
      </w:r>
      <w:r w:rsidRPr="007C4B78">
        <w:rPr>
          <w:noProof/>
        </w:rPr>
      </w:r>
      <w:r w:rsidRPr="007C4B78">
        <w:rPr>
          <w:noProof/>
        </w:rPr>
        <w:fldChar w:fldCharType="separate"/>
      </w:r>
      <w:r w:rsidR="00B20F7E">
        <w:rPr>
          <w:noProof/>
        </w:rPr>
        <w:t>35</w:t>
      </w:r>
      <w:r w:rsidRPr="007C4B78">
        <w:rPr>
          <w:noProof/>
        </w:rPr>
        <w:fldChar w:fldCharType="end"/>
      </w:r>
    </w:p>
    <w:p w14:paraId="2B9F9418"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Promising Practices</w:t>
      </w:r>
      <w:r w:rsidRPr="007C4B78">
        <w:rPr>
          <w:noProof/>
        </w:rPr>
        <w:tab/>
      </w:r>
      <w:r w:rsidRPr="007C4B78">
        <w:rPr>
          <w:noProof/>
        </w:rPr>
        <w:fldChar w:fldCharType="begin"/>
      </w:r>
      <w:r w:rsidRPr="007C4B78">
        <w:rPr>
          <w:noProof/>
        </w:rPr>
        <w:instrText xml:space="preserve"> PAGEREF _Toc417303165 \h </w:instrText>
      </w:r>
      <w:r w:rsidRPr="007C4B78">
        <w:rPr>
          <w:noProof/>
        </w:rPr>
      </w:r>
      <w:r w:rsidRPr="007C4B78">
        <w:rPr>
          <w:noProof/>
        </w:rPr>
        <w:fldChar w:fldCharType="separate"/>
      </w:r>
      <w:r w:rsidR="00B20F7E">
        <w:rPr>
          <w:noProof/>
        </w:rPr>
        <w:t>36</w:t>
      </w:r>
      <w:r w:rsidRPr="007C4B78">
        <w:rPr>
          <w:noProof/>
        </w:rPr>
        <w:fldChar w:fldCharType="end"/>
      </w:r>
    </w:p>
    <w:p w14:paraId="2401374F"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Barriers</w:t>
      </w:r>
      <w:r w:rsidRPr="007C4B78">
        <w:rPr>
          <w:noProof/>
        </w:rPr>
        <w:tab/>
      </w:r>
      <w:r w:rsidRPr="007C4B78">
        <w:rPr>
          <w:noProof/>
        </w:rPr>
        <w:fldChar w:fldCharType="begin"/>
      </w:r>
      <w:r w:rsidRPr="007C4B78">
        <w:rPr>
          <w:noProof/>
        </w:rPr>
        <w:instrText xml:space="preserve"> PAGEREF _Toc417303166 \h </w:instrText>
      </w:r>
      <w:r w:rsidRPr="007C4B78">
        <w:rPr>
          <w:noProof/>
        </w:rPr>
      </w:r>
      <w:r w:rsidRPr="007C4B78">
        <w:rPr>
          <w:noProof/>
        </w:rPr>
        <w:fldChar w:fldCharType="separate"/>
      </w:r>
      <w:r w:rsidR="00B20F7E">
        <w:rPr>
          <w:noProof/>
        </w:rPr>
        <w:t>37</w:t>
      </w:r>
      <w:r w:rsidRPr="007C4B78">
        <w:rPr>
          <w:noProof/>
        </w:rPr>
        <w:fldChar w:fldCharType="end"/>
      </w:r>
    </w:p>
    <w:p w14:paraId="5DB39C54"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lastRenderedPageBreak/>
        <w:t>What Access to Justice Should Look Like for Child Victims with Cognitive Disabilities in Ireland?</w:t>
      </w:r>
      <w:r w:rsidRPr="007C4B78">
        <w:rPr>
          <w:noProof/>
        </w:rPr>
        <w:tab/>
      </w:r>
      <w:r w:rsidRPr="007C4B78">
        <w:rPr>
          <w:noProof/>
        </w:rPr>
        <w:fldChar w:fldCharType="begin"/>
      </w:r>
      <w:r w:rsidRPr="007C4B78">
        <w:rPr>
          <w:noProof/>
        </w:rPr>
        <w:instrText xml:space="preserve"> PAGEREF _Toc417303167 \h </w:instrText>
      </w:r>
      <w:r w:rsidRPr="007C4B78">
        <w:rPr>
          <w:noProof/>
        </w:rPr>
      </w:r>
      <w:r w:rsidRPr="007C4B78">
        <w:rPr>
          <w:noProof/>
        </w:rPr>
        <w:fldChar w:fldCharType="separate"/>
      </w:r>
      <w:r w:rsidR="00B20F7E">
        <w:rPr>
          <w:noProof/>
        </w:rPr>
        <w:t>39</w:t>
      </w:r>
      <w:r w:rsidRPr="007C4B78">
        <w:rPr>
          <w:noProof/>
        </w:rPr>
        <w:fldChar w:fldCharType="end"/>
      </w:r>
    </w:p>
    <w:p w14:paraId="4E81190F"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Offenders with Cognitive Disabilities in the Criminal Justice System</w:t>
      </w:r>
      <w:r w:rsidRPr="007C4B78">
        <w:rPr>
          <w:noProof/>
        </w:rPr>
        <w:tab/>
      </w:r>
      <w:r w:rsidRPr="007C4B78">
        <w:rPr>
          <w:noProof/>
        </w:rPr>
        <w:fldChar w:fldCharType="begin"/>
      </w:r>
      <w:r w:rsidRPr="007C4B78">
        <w:rPr>
          <w:noProof/>
        </w:rPr>
        <w:instrText xml:space="preserve"> PAGEREF _Toc417303168 \h </w:instrText>
      </w:r>
      <w:r w:rsidRPr="007C4B78">
        <w:rPr>
          <w:noProof/>
        </w:rPr>
      </w:r>
      <w:r w:rsidRPr="007C4B78">
        <w:rPr>
          <w:noProof/>
        </w:rPr>
        <w:fldChar w:fldCharType="separate"/>
      </w:r>
      <w:r w:rsidR="00B20F7E">
        <w:rPr>
          <w:noProof/>
        </w:rPr>
        <w:t>39</w:t>
      </w:r>
      <w:r w:rsidRPr="007C4B78">
        <w:rPr>
          <w:noProof/>
        </w:rPr>
        <w:fldChar w:fldCharType="end"/>
      </w:r>
    </w:p>
    <w:p w14:paraId="49AB266C"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Historical Background</w:t>
      </w:r>
      <w:r w:rsidRPr="007C4B78">
        <w:rPr>
          <w:noProof/>
        </w:rPr>
        <w:tab/>
      </w:r>
      <w:r w:rsidRPr="007C4B78">
        <w:rPr>
          <w:noProof/>
        </w:rPr>
        <w:fldChar w:fldCharType="begin"/>
      </w:r>
      <w:r w:rsidRPr="007C4B78">
        <w:rPr>
          <w:noProof/>
        </w:rPr>
        <w:instrText xml:space="preserve"> PAGEREF _Toc417303169 \h </w:instrText>
      </w:r>
      <w:r w:rsidRPr="007C4B78">
        <w:rPr>
          <w:noProof/>
        </w:rPr>
      </w:r>
      <w:r w:rsidRPr="007C4B78">
        <w:rPr>
          <w:noProof/>
        </w:rPr>
        <w:fldChar w:fldCharType="separate"/>
      </w:r>
      <w:r w:rsidR="00B20F7E">
        <w:rPr>
          <w:noProof/>
        </w:rPr>
        <w:t>39</w:t>
      </w:r>
      <w:r w:rsidRPr="007C4B78">
        <w:rPr>
          <w:noProof/>
        </w:rPr>
        <w:fldChar w:fldCharType="end"/>
      </w:r>
    </w:p>
    <w:p w14:paraId="45EDCC22"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Laws</w:t>
      </w:r>
      <w:r w:rsidRPr="007C4B78">
        <w:rPr>
          <w:noProof/>
        </w:rPr>
        <w:tab/>
      </w:r>
      <w:r w:rsidRPr="007C4B78">
        <w:rPr>
          <w:noProof/>
        </w:rPr>
        <w:fldChar w:fldCharType="begin"/>
      </w:r>
      <w:r w:rsidRPr="007C4B78">
        <w:rPr>
          <w:noProof/>
        </w:rPr>
        <w:instrText xml:space="preserve"> PAGEREF _Toc417303170 \h </w:instrText>
      </w:r>
      <w:r w:rsidRPr="007C4B78">
        <w:rPr>
          <w:noProof/>
        </w:rPr>
      </w:r>
      <w:r w:rsidRPr="007C4B78">
        <w:rPr>
          <w:noProof/>
        </w:rPr>
        <w:fldChar w:fldCharType="separate"/>
      </w:r>
      <w:r w:rsidR="00B20F7E">
        <w:rPr>
          <w:noProof/>
        </w:rPr>
        <w:t>40</w:t>
      </w:r>
      <w:r w:rsidRPr="007C4B78">
        <w:rPr>
          <w:noProof/>
        </w:rPr>
        <w:fldChar w:fldCharType="end"/>
      </w:r>
    </w:p>
    <w:p w14:paraId="4EBD1875"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Children in Detention in the Criminal Justice System</w:t>
      </w:r>
      <w:r w:rsidRPr="007C4B78">
        <w:rPr>
          <w:noProof/>
        </w:rPr>
        <w:tab/>
      </w:r>
      <w:r w:rsidRPr="007C4B78">
        <w:rPr>
          <w:noProof/>
        </w:rPr>
        <w:fldChar w:fldCharType="begin"/>
      </w:r>
      <w:r w:rsidRPr="007C4B78">
        <w:rPr>
          <w:noProof/>
        </w:rPr>
        <w:instrText xml:space="preserve"> PAGEREF _Toc417303171 \h </w:instrText>
      </w:r>
      <w:r w:rsidRPr="007C4B78">
        <w:rPr>
          <w:noProof/>
        </w:rPr>
      </w:r>
      <w:r w:rsidRPr="007C4B78">
        <w:rPr>
          <w:noProof/>
        </w:rPr>
        <w:fldChar w:fldCharType="separate"/>
      </w:r>
      <w:r w:rsidR="00B20F7E">
        <w:rPr>
          <w:noProof/>
        </w:rPr>
        <w:t>42</w:t>
      </w:r>
      <w:r w:rsidRPr="007C4B78">
        <w:rPr>
          <w:noProof/>
        </w:rPr>
        <w:fldChar w:fldCharType="end"/>
      </w:r>
    </w:p>
    <w:p w14:paraId="47600DC1"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Systems of Redress in the Criminal Justice System</w:t>
      </w:r>
      <w:r w:rsidRPr="007C4B78">
        <w:rPr>
          <w:noProof/>
        </w:rPr>
        <w:tab/>
      </w:r>
      <w:r w:rsidRPr="007C4B78">
        <w:rPr>
          <w:noProof/>
        </w:rPr>
        <w:fldChar w:fldCharType="begin"/>
      </w:r>
      <w:r w:rsidRPr="007C4B78">
        <w:rPr>
          <w:noProof/>
        </w:rPr>
        <w:instrText xml:space="preserve"> PAGEREF _Toc417303172 \h </w:instrText>
      </w:r>
      <w:r w:rsidRPr="007C4B78">
        <w:rPr>
          <w:noProof/>
        </w:rPr>
      </w:r>
      <w:r w:rsidRPr="007C4B78">
        <w:rPr>
          <w:noProof/>
        </w:rPr>
        <w:fldChar w:fldCharType="separate"/>
      </w:r>
      <w:r w:rsidR="00B20F7E">
        <w:rPr>
          <w:noProof/>
        </w:rPr>
        <w:t>45</w:t>
      </w:r>
      <w:r w:rsidRPr="007C4B78">
        <w:rPr>
          <w:noProof/>
        </w:rPr>
        <w:fldChar w:fldCharType="end"/>
      </w:r>
    </w:p>
    <w:p w14:paraId="4AFC895E" w14:textId="77777777" w:rsidR="003737D9" w:rsidRPr="007C4B78" w:rsidRDefault="003737D9">
      <w:pPr>
        <w:pStyle w:val="TOC3"/>
        <w:tabs>
          <w:tab w:val="right" w:leader="dot" w:pos="8630"/>
        </w:tabs>
        <w:rPr>
          <w:rFonts w:asciiTheme="minorHAnsi" w:eastAsiaTheme="minorEastAsia" w:hAnsiTheme="minorHAnsi" w:cstheme="minorBidi"/>
          <w:smallCaps w:val="0"/>
          <w:noProof/>
          <w:lang w:val="en-IE" w:eastAsia="en-IE"/>
        </w:rPr>
      </w:pPr>
      <w:r w:rsidRPr="007C4B78">
        <w:rPr>
          <w:noProof/>
        </w:rPr>
        <w:t>What access to justice for child offenders with cognitive disabilities in court proceedings and detention would look like?</w:t>
      </w:r>
      <w:r w:rsidRPr="007C4B78">
        <w:rPr>
          <w:noProof/>
        </w:rPr>
        <w:tab/>
      </w:r>
      <w:r w:rsidRPr="007C4B78">
        <w:rPr>
          <w:noProof/>
        </w:rPr>
        <w:fldChar w:fldCharType="begin"/>
      </w:r>
      <w:r w:rsidRPr="007C4B78">
        <w:rPr>
          <w:noProof/>
        </w:rPr>
        <w:instrText xml:space="preserve"> PAGEREF _Toc417303173 \h </w:instrText>
      </w:r>
      <w:r w:rsidRPr="007C4B78">
        <w:rPr>
          <w:noProof/>
        </w:rPr>
      </w:r>
      <w:r w:rsidRPr="007C4B78">
        <w:rPr>
          <w:noProof/>
        </w:rPr>
        <w:fldChar w:fldCharType="separate"/>
      </w:r>
      <w:r w:rsidR="00B20F7E">
        <w:rPr>
          <w:noProof/>
        </w:rPr>
        <w:t>48</w:t>
      </w:r>
      <w:r w:rsidRPr="007C4B78">
        <w:rPr>
          <w:noProof/>
        </w:rPr>
        <w:fldChar w:fldCharType="end"/>
      </w:r>
    </w:p>
    <w:p w14:paraId="552EB656" w14:textId="77777777" w:rsidR="003737D9" w:rsidRPr="007C4B78" w:rsidRDefault="003737D9">
      <w:pPr>
        <w:pStyle w:val="TOC1"/>
        <w:tabs>
          <w:tab w:val="right" w:leader="dot" w:pos="8630"/>
        </w:tabs>
        <w:rPr>
          <w:rFonts w:asciiTheme="minorHAnsi" w:eastAsiaTheme="minorEastAsia" w:hAnsiTheme="minorHAnsi" w:cstheme="minorBidi"/>
          <w:b w:val="0"/>
          <w:caps w:val="0"/>
          <w:noProof/>
          <w:u w:val="none"/>
          <w:lang w:val="en-IE" w:eastAsia="en-IE"/>
        </w:rPr>
      </w:pPr>
      <w:r w:rsidRPr="007C4B78">
        <w:rPr>
          <w:noProof/>
        </w:rPr>
        <w:t>Conclusions and Recommendations for Reform</w:t>
      </w:r>
      <w:r w:rsidRPr="007C4B78">
        <w:rPr>
          <w:noProof/>
        </w:rPr>
        <w:tab/>
      </w:r>
      <w:r w:rsidRPr="007C4B78">
        <w:rPr>
          <w:noProof/>
        </w:rPr>
        <w:fldChar w:fldCharType="begin"/>
      </w:r>
      <w:r w:rsidRPr="007C4B78">
        <w:rPr>
          <w:noProof/>
        </w:rPr>
        <w:instrText xml:space="preserve"> PAGEREF _Toc417303174 \h </w:instrText>
      </w:r>
      <w:r w:rsidRPr="007C4B78">
        <w:rPr>
          <w:noProof/>
        </w:rPr>
      </w:r>
      <w:r w:rsidRPr="007C4B78">
        <w:rPr>
          <w:noProof/>
        </w:rPr>
        <w:fldChar w:fldCharType="separate"/>
      </w:r>
      <w:r w:rsidR="00B20F7E">
        <w:rPr>
          <w:noProof/>
        </w:rPr>
        <w:t>49</w:t>
      </w:r>
      <w:r w:rsidRPr="007C4B78">
        <w:rPr>
          <w:noProof/>
        </w:rPr>
        <w:fldChar w:fldCharType="end"/>
      </w:r>
    </w:p>
    <w:p w14:paraId="7C15DD40"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Education and Access to Justice</w:t>
      </w:r>
      <w:r w:rsidRPr="007C4B78">
        <w:rPr>
          <w:noProof/>
        </w:rPr>
        <w:tab/>
      </w:r>
      <w:r w:rsidRPr="007C4B78">
        <w:rPr>
          <w:noProof/>
        </w:rPr>
        <w:fldChar w:fldCharType="begin"/>
      </w:r>
      <w:r w:rsidRPr="007C4B78">
        <w:rPr>
          <w:noProof/>
        </w:rPr>
        <w:instrText xml:space="preserve"> PAGEREF _Toc417303175 \h </w:instrText>
      </w:r>
      <w:r w:rsidRPr="007C4B78">
        <w:rPr>
          <w:noProof/>
        </w:rPr>
      </w:r>
      <w:r w:rsidRPr="007C4B78">
        <w:rPr>
          <w:noProof/>
        </w:rPr>
        <w:fldChar w:fldCharType="separate"/>
      </w:r>
      <w:r w:rsidR="00B20F7E">
        <w:rPr>
          <w:noProof/>
        </w:rPr>
        <w:t>49</w:t>
      </w:r>
      <w:r w:rsidRPr="007C4B78">
        <w:rPr>
          <w:noProof/>
        </w:rPr>
        <w:fldChar w:fldCharType="end"/>
      </w:r>
    </w:p>
    <w:p w14:paraId="6DD5E28C"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Care and Custody Proceedings</w:t>
      </w:r>
      <w:r w:rsidRPr="007C4B78">
        <w:rPr>
          <w:noProof/>
        </w:rPr>
        <w:tab/>
      </w:r>
      <w:r w:rsidRPr="007C4B78">
        <w:rPr>
          <w:noProof/>
        </w:rPr>
        <w:fldChar w:fldCharType="begin"/>
      </w:r>
      <w:r w:rsidRPr="007C4B78">
        <w:rPr>
          <w:noProof/>
        </w:rPr>
        <w:instrText xml:space="preserve"> PAGEREF _Toc417303176 \h </w:instrText>
      </w:r>
      <w:r w:rsidRPr="007C4B78">
        <w:rPr>
          <w:noProof/>
        </w:rPr>
      </w:r>
      <w:r w:rsidRPr="007C4B78">
        <w:rPr>
          <w:noProof/>
        </w:rPr>
        <w:fldChar w:fldCharType="separate"/>
      </w:r>
      <w:r w:rsidR="00B20F7E">
        <w:rPr>
          <w:noProof/>
        </w:rPr>
        <w:t>50</w:t>
      </w:r>
      <w:r w:rsidRPr="007C4B78">
        <w:rPr>
          <w:noProof/>
        </w:rPr>
        <w:fldChar w:fldCharType="end"/>
      </w:r>
    </w:p>
    <w:p w14:paraId="41611044"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Access to Justice in Criminal Justice Settings</w:t>
      </w:r>
      <w:r w:rsidRPr="007C4B78">
        <w:rPr>
          <w:noProof/>
        </w:rPr>
        <w:tab/>
      </w:r>
      <w:r w:rsidRPr="007C4B78">
        <w:rPr>
          <w:noProof/>
        </w:rPr>
        <w:fldChar w:fldCharType="begin"/>
      </w:r>
      <w:r w:rsidRPr="007C4B78">
        <w:rPr>
          <w:noProof/>
        </w:rPr>
        <w:instrText xml:space="preserve"> PAGEREF _Toc417303177 \h </w:instrText>
      </w:r>
      <w:r w:rsidRPr="007C4B78">
        <w:rPr>
          <w:noProof/>
        </w:rPr>
      </w:r>
      <w:r w:rsidRPr="007C4B78">
        <w:rPr>
          <w:noProof/>
        </w:rPr>
        <w:fldChar w:fldCharType="separate"/>
      </w:r>
      <w:r w:rsidR="00B20F7E">
        <w:rPr>
          <w:noProof/>
        </w:rPr>
        <w:t>50</w:t>
      </w:r>
      <w:r w:rsidRPr="007C4B78">
        <w:rPr>
          <w:noProof/>
        </w:rPr>
        <w:fldChar w:fldCharType="end"/>
      </w:r>
    </w:p>
    <w:p w14:paraId="43B9E0D6"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Victims and Witnesses</w:t>
      </w:r>
      <w:r w:rsidRPr="007C4B78">
        <w:rPr>
          <w:noProof/>
        </w:rPr>
        <w:tab/>
      </w:r>
      <w:r w:rsidRPr="007C4B78">
        <w:rPr>
          <w:noProof/>
        </w:rPr>
        <w:fldChar w:fldCharType="begin"/>
      </w:r>
      <w:r w:rsidRPr="007C4B78">
        <w:rPr>
          <w:noProof/>
        </w:rPr>
        <w:instrText xml:space="preserve"> PAGEREF _Toc417303178 \h </w:instrText>
      </w:r>
      <w:r w:rsidRPr="007C4B78">
        <w:rPr>
          <w:noProof/>
        </w:rPr>
      </w:r>
      <w:r w:rsidRPr="007C4B78">
        <w:rPr>
          <w:noProof/>
        </w:rPr>
        <w:fldChar w:fldCharType="separate"/>
      </w:r>
      <w:r w:rsidR="00B20F7E">
        <w:rPr>
          <w:noProof/>
        </w:rPr>
        <w:t>50</w:t>
      </w:r>
      <w:r w:rsidRPr="007C4B78">
        <w:rPr>
          <w:noProof/>
        </w:rPr>
        <w:fldChar w:fldCharType="end"/>
      </w:r>
    </w:p>
    <w:p w14:paraId="4CF34D4E" w14:textId="77777777" w:rsidR="003737D9" w:rsidRPr="007C4B78" w:rsidRDefault="003737D9">
      <w:pPr>
        <w:pStyle w:val="TOC2"/>
        <w:rPr>
          <w:rFonts w:asciiTheme="minorHAnsi" w:eastAsiaTheme="minorEastAsia" w:hAnsiTheme="minorHAnsi" w:cstheme="minorBidi"/>
          <w:b w:val="0"/>
          <w:smallCaps w:val="0"/>
          <w:noProof/>
          <w:lang w:val="en-IE" w:eastAsia="en-IE"/>
        </w:rPr>
      </w:pPr>
      <w:r w:rsidRPr="007C4B78">
        <w:rPr>
          <w:rFonts w:asciiTheme="majorHAnsi" w:hAnsiTheme="majorHAnsi"/>
          <w:noProof/>
        </w:rPr>
        <w:t>Offenders</w:t>
      </w:r>
      <w:r w:rsidRPr="007C4B78">
        <w:rPr>
          <w:noProof/>
        </w:rPr>
        <w:tab/>
      </w:r>
      <w:r w:rsidRPr="007C4B78">
        <w:rPr>
          <w:noProof/>
        </w:rPr>
        <w:fldChar w:fldCharType="begin"/>
      </w:r>
      <w:r w:rsidRPr="007C4B78">
        <w:rPr>
          <w:noProof/>
        </w:rPr>
        <w:instrText xml:space="preserve"> PAGEREF _Toc417303179 \h </w:instrText>
      </w:r>
      <w:r w:rsidRPr="007C4B78">
        <w:rPr>
          <w:noProof/>
        </w:rPr>
      </w:r>
      <w:r w:rsidRPr="007C4B78">
        <w:rPr>
          <w:noProof/>
        </w:rPr>
        <w:fldChar w:fldCharType="separate"/>
      </w:r>
      <w:r w:rsidR="00B20F7E">
        <w:rPr>
          <w:noProof/>
        </w:rPr>
        <w:t>51</w:t>
      </w:r>
      <w:r w:rsidRPr="007C4B78">
        <w:rPr>
          <w:noProof/>
        </w:rPr>
        <w:fldChar w:fldCharType="end"/>
      </w:r>
    </w:p>
    <w:p w14:paraId="2CE981D4" w14:textId="77777777" w:rsidR="00E74C07" w:rsidRPr="007C4B78" w:rsidRDefault="00B83C67" w:rsidP="004D12C3">
      <w:pPr>
        <w:pStyle w:val="ColorfulList-Accent11"/>
        <w:ind w:left="0"/>
        <w:jc w:val="both"/>
        <w:rPr>
          <w:rStyle w:val="Heading1Char"/>
          <w:rFonts w:ascii="Cambria" w:eastAsia="MS Mincho" w:hAnsi="Cambria" w:cs="Times New Roman"/>
          <w:bCs w:val="0"/>
          <w:smallCaps/>
          <w:color w:val="auto"/>
          <w:sz w:val="22"/>
          <w:szCs w:val="22"/>
        </w:rPr>
      </w:pPr>
      <w:r w:rsidRPr="007C4B78">
        <w:rPr>
          <w:rStyle w:val="Heading1Char"/>
          <w:color w:val="auto"/>
        </w:rPr>
        <w:fldChar w:fldCharType="end"/>
      </w:r>
    </w:p>
    <w:p w14:paraId="1526695A" w14:textId="77777777" w:rsidR="00E74C07" w:rsidRPr="007C4B78" w:rsidRDefault="00E74C07" w:rsidP="004D12C3">
      <w:pPr>
        <w:jc w:val="both"/>
        <w:rPr>
          <w:rStyle w:val="Heading1Char"/>
          <w:b w:val="0"/>
          <w:caps/>
          <w:u w:val="single"/>
        </w:rPr>
      </w:pPr>
      <w:r w:rsidRPr="007C4B78">
        <w:rPr>
          <w:rStyle w:val="Heading1Char"/>
          <w:color w:val="auto"/>
        </w:rPr>
        <w:br w:type="page"/>
      </w:r>
    </w:p>
    <w:p w14:paraId="7DA4522C" w14:textId="77777777" w:rsidR="00F07B2C" w:rsidRPr="007C4B78" w:rsidRDefault="00F07B2C" w:rsidP="004D12C3">
      <w:pPr>
        <w:pStyle w:val="ColorfulList-Accent11"/>
        <w:ind w:left="0"/>
        <w:jc w:val="both"/>
        <w:rPr>
          <w:rFonts w:asciiTheme="majorHAnsi" w:hAnsiTheme="majorHAnsi"/>
        </w:rPr>
      </w:pPr>
      <w:bookmarkStart w:id="1" w:name="_Toc417303128"/>
      <w:r w:rsidRPr="007C4B78">
        <w:rPr>
          <w:rStyle w:val="Heading1Char"/>
          <w:color w:val="auto"/>
        </w:rPr>
        <w:lastRenderedPageBreak/>
        <w:t>Introduction</w:t>
      </w:r>
      <w:bookmarkEnd w:id="1"/>
    </w:p>
    <w:p w14:paraId="23F14FD5" w14:textId="77777777" w:rsidR="000323CE" w:rsidRPr="007C4B78" w:rsidRDefault="00F07B2C" w:rsidP="004D12C3">
      <w:pPr>
        <w:pStyle w:val="Heading2"/>
        <w:jc w:val="both"/>
        <w:rPr>
          <w:rFonts w:asciiTheme="majorHAnsi" w:hAnsiTheme="majorHAnsi"/>
        </w:rPr>
      </w:pPr>
      <w:bookmarkStart w:id="2" w:name="_Toc417303129"/>
      <w:r w:rsidRPr="007C4B78">
        <w:rPr>
          <w:rFonts w:asciiTheme="majorHAnsi" w:hAnsiTheme="majorHAnsi"/>
        </w:rPr>
        <w:t>About the Project</w:t>
      </w:r>
      <w:bookmarkEnd w:id="2"/>
    </w:p>
    <w:p w14:paraId="7B905CF1" w14:textId="77777777" w:rsidR="000323CE" w:rsidRPr="007C4B78" w:rsidRDefault="00ED2568" w:rsidP="004D12C3">
      <w:pPr>
        <w:jc w:val="both"/>
        <w:rPr>
          <w:rFonts w:asciiTheme="majorHAnsi" w:hAnsiTheme="majorHAnsi"/>
        </w:rPr>
      </w:pPr>
      <w:r w:rsidRPr="007C4B78">
        <w:rPr>
          <w:rFonts w:asciiTheme="majorHAnsi" w:hAnsiTheme="majorHAnsi"/>
        </w:rPr>
        <w:t>This report is a product of the Access to Justice for Children with Mental Disabilities Project which ran from</w:t>
      </w:r>
      <w:r w:rsidR="007E5486" w:rsidRPr="007C4B78">
        <w:rPr>
          <w:rFonts w:asciiTheme="majorHAnsi" w:hAnsiTheme="majorHAnsi"/>
        </w:rPr>
        <w:t xml:space="preserve"> May</w:t>
      </w:r>
      <w:r w:rsidRPr="007C4B78">
        <w:rPr>
          <w:rFonts w:asciiTheme="majorHAnsi" w:hAnsiTheme="majorHAnsi"/>
        </w:rPr>
        <w:t xml:space="preserve"> 2013-April 2015. The </w:t>
      </w:r>
      <w:r w:rsidR="00464197" w:rsidRPr="007C4B78">
        <w:rPr>
          <w:rFonts w:asciiTheme="majorHAnsi" w:hAnsiTheme="majorHAnsi"/>
        </w:rPr>
        <w:t>Mental Disability Advocacy Cente</w:t>
      </w:r>
      <w:r w:rsidR="00A545B0" w:rsidRPr="007C4B78">
        <w:rPr>
          <w:rFonts w:asciiTheme="majorHAnsi" w:hAnsiTheme="majorHAnsi"/>
        </w:rPr>
        <w:t>r</w:t>
      </w:r>
      <w:r w:rsidR="00464197" w:rsidRPr="007C4B78">
        <w:rPr>
          <w:rFonts w:asciiTheme="majorHAnsi" w:hAnsiTheme="majorHAnsi"/>
        </w:rPr>
        <w:t xml:space="preserve"> in Budapest, Hungary managed the </w:t>
      </w:r>
      <w:r w:rsidR="00A545B0" w:rsidRPr="007C4B78">
        <w:rPr>
          <w:rFonts w:asciiTheme="majorHAnsi" w:hAnsiTheme="majorHAnsi"/>
        </w:rPr>
        <w:t>p</w:t>
      </w:r>
      <w:r w:rsidR="00464197" w:rsidRPr="007C4B78">
        <w:rPr>
          <w:rFonts w:asciiTheme="majorHAnsi" w:hAnsiTheme="majorHAnsi"/>
        </w:rPr>
        <w:t>roject</w:t>
      </w:r>
      <w:r w:rsidR="00C044C5" w:rsidRPr="007C4B78">
        <w:rPr>
          <w:rFonts w:asciiTheme="majorHAnsi" w:hAnsiTheme="majorHAnsi"/>
        </w:rPr>
        <w:t>. The project included eight other country partners from Lithuania, Slovenia, Spain, Romania, Bulgaria, the Czech Republic, Latvia and the United Kingdom.</w:t>
      </w:r>
      <w:r w:rsidR="000323CE" w:rsidRPr="007C4B78">
        <w:rPr>
          <w:rFonts w:asciiTheme="majorHAnsi" w:hAnsiTheme="majorHAnsi"/>
        </w:rPr>
        <w:t xml:space="preserve"> This report has been written as part of </w:t>
      </w:r>
      <w:r w:rsidR="00A545B0" w:rsidRPr="007C4B78">
        <w:rPr>
          <w:rFonts w:asciiTheme="majorHAnsi" w:hAnsiTheme="majorHAnsi"/>
        </w:rPr>
        <w:t>the</w:t>
      </w:r>
      <w:r w:rsidR="000323CE" w:rsidRPr="007C4B78">
        <w:rPr>
          <w:rFonts w:asciiTheme="majorHAnsi" w:hAnsiTheme="majorHAnsi"/>
        </w:rPr>
        <w:t xml:space="preserve"> project, co-funded by the Fundamental Rights &amp; Citizenship Programme of the European Union, on “access to justice for children with mental disabilities</w:t>
      </w:r>
      <w:r w:rsidR="00A545B0" w:rsidRPr="007C4B78">
        <w:rPr>
          <w:rFonts w:asciiTheme="majorHAnsi" w:hAnsiTheme="majorHAnsi"/>
        </w:rPr>
        <w:t>”</w:t>
      </w:r>
      <w:r w:rsidR="000323CE" w:rsidRPr="007C4B78">
        <w:rPr>
          <w:rFonts w:asciiTheme="majorHAnsi" w:hAnsiTheme="majorHAnsi"/>
        </w:rPr>
        <w:t>.</w:t>
      </w:r>
    </w:p>
    <w:p w14:paraId="6C4A7D16" w14:textId="77777777" w:rsidR="00282567" w:rsidRPr="007C4B78" w:rsidRDefault="00282567" w:rsidP="004D12C3">
      <w:pPr>
        <w:jc w:val="both"/>
        <w:rPr>
          <w:rFonts w:asciiTheme="majorHAnsi" w:hAnsiTheme="majorHAnsi"/>
        </w:rPr>
      </w:pPr>
    </w:p>
    <w:p w14:paraId="00ADB8CC" w14:textId="77777777" w:rsidR="0024154D" w:rsidRPr="007C4B78" w:rsidRDefault="0024154D" w:rsidP="004D12C3">
      <w:pPr>
        <w:pStyle w:val="BodyTextIndent"/>
        <w:ind w:left="142"/>
        <w:rPr>
          <w:rFonts w:asciiTheme="majorHAnsi" w:hAnsiTheme="majorHAnsi" w:cs="Arial"/>
          <w:sz w:val="24"/>
          <w:lang w:val="en-GB"/>
        </w:rPr>
      </w:pPr>
      <w:r w:rsidRPr="007C4B78">
        <w:rPr>
          <w:rFonts w:asciiTheme="majorHAnsi" w:hAnsiTheme="majorHAnsi"/>
          <w:sz w:val="24"/>
          <w:lang w:val="en-GB"/>
        </w:rPr>
        <w:t>The project included four broad objectives:</w:t>
      </w:r>
    </w:p>
    <w:p w14:paraId="23970AB5" w14:textId="77777777" w:rsidR="0024154D" w:rsidRPr="007C4B78" w:rsidRDefault="0024154D" w:rsidP="004D12C3">
      <w:pPr>
        <w:pStyle w:val="BodyTextIndent"/>
        <w:ind w:left="142"/>
        <w:rPr>
          <w:rFonts w:asciiTheme="majorHAnsi" w:hAnsiTheme="majorHAnsi" w:cs="Arial"/>
          <w:sz w:val="24"/>
          <w:lang w:val="en-GB"/>
        </w:rPr>
      </w:pPr>
    </w:p>
    <w:p w14:paraId="748275C1" w14:textId="77777777" w:rsidR="0024154D" w:rsidRPr="007C4B78" w:rsidRDefault="0024154D" w:rsidP="004D12C3">
      <w:pPr>
        <w:pStyle w:val="BodyTextIndent"/>
        <w:ind w:left="142"/>
        <w:rPr>
          <w:rFonts w:asciiTheme="majorHAnsi" w:hAnsiTheme="majorHAnsi" w:cs="Arial"/>
          <w:sz w:val="24"/>
          <w:lang w:val="en-GB"/>
        </w:rPr>
      </w:pPr>
      <w:r w:rsidRPr="007C4B78">
        <w:rPr>
          <w:rFonts w:asciiTheme="majorHAnsi" w:hAnsiTheme="majorHAnsi" w:cs="Arial"/>
          <w:sz w:val="24"/>
          <w:lang w:val="en-GB"/>
        </w:rPr>
        <w:t>1.Development of a methodology for data gathering on access to justice for children with mental disabilities across the EU.</w:t>
      </w:r>
    </w:p>
    <w:p w14:paraId="4BEC54B4" w14:textId="77777777" w:rsidR="0024154D" w:rsidRPr="007C4B78" w:rsidRDefault="0024154D" w:rsidP="004D12C3">
      <w:pPr>
        <w:pStyle w:val="BodyTextIndent"/>
        <w:ind w:left="142"/>
        <w:rPr>
          <w:rFonts w:asciiTheme="majorHAnsi" w:hAnsiTheme="majorHAnsi" w:cs="Arial"/>
          <w:sz w:val="24"/>
          <w:lang w:val="en-GB"/>
        </w:rPr>
      </w:pPr>
    </w:p>
    <w:p w14:paraId="447A48B2" w14:textId="77777777" w:rsidR="0024154D" w:rsidRPr="007C4B78" w:rsidRDefault="0024154D" w:rsidP="004D12C3">
      <w:pPr>
        <w:pStyle w:val="BodyTextIndent"/>
        <w:ind w:left="142"/>
        <w:rPr>
          <w:rFonts w:asciiTheme="majorHAnsi" w:hAnsiTheme="majorHAnsi" w:cs="Arial"/>
          <w:sz w:val="24"/>
          <w:lang w:val="en-GB"/>
        </w:rPr>
      </w:pPr>
      <w:r w:rsidRPr="007C4B78">
        <w:rPr>
          <w:rFonts w:asciiTheme="majorHAnsi" w:hAnsiTheme="majorHAnsi" w:cs="Arial"/>
          <w:sz w:val="24"/>
          <w:lang w:val="en-GB"/>
        </w:rPr>
        <w:t>2. Development of standards for access to justice for children with mental disabilities (in relation to protection of privacy, child participation, accessible information about access to justice options, legal assistance, legal representation, protective measures and special assistance) based on relevant research evidence and best practice across the EU.</w:t>
      </w:r>
    </w:p>
    <w:p w14:paraId="22439D32" w14:textId="77777777" w:rsidR="0024154D" w:rsidRPr="007C4B78" w:rsidRDefault="0024154D" w:rsidP="004D12C3">
      <w:pPr>
        <w:pStyle w:val="BodyTextIndent"/>
        <w:ind w:left="142"/>
        <w:rPr>
          <w:rFonts w:asciiTheme="majorHAnsi" w:hAnsiTheme="majorHAnsi" w:cs="Arial"/>
          <w:sz w:val="24"/>
          <w:lang w:val="en-GB"/>
        </w:rPr>
      </w:pPr>
    </w:p>
    <w:p w14:paraId="16F25A6A" w14:textId="77777777" w:rsidR="0024154D" w:rsidRPr="007C4B78" w:rsidRDefault="0024154D" w:rsidP="004D12C3">
      <w:pPr>
        <w:pStyle w:val="BodyTextIndent"/>
        <w:ind w:left="142"/>
        <w:rPr>
          <w:rFonts w:asciiTheme="majorHAnsi" w:hAnsiTheme="majorHAnsi" w:cs="Arial"/>
          <w:sz w:val="24"/>
          <w:lang w:val="en-GB"/>
        </w:rPr>
      </w:pPr>
      <w:r w:rsidRPr="007C4B78">
        <w:rPr>
          <w:rFonts w:asciiTheme="majorHAnsi" w:hAnsiTheme="majorHAnsi" w:cs="Arial"/>
          <w:sz w:val="24"/>
          <w:lang w:val="en-GB"/>
        </w:rPr>
        <w:t xml:space="preserve">3. Development of training and educational materials for access to justice for children with mental disabilities. These packages will be designed to be of relevance and potential use to professional bodies (including the judiciary and the police) and to providers of academic courses in universities (including courses on law, human rights and disability studies) (Workstream 3). </w:t>
      </w:r>
    </w:p>
    <w:p w14:paraId="6A83406A" w14:textId="77777777" w:rsidR="0024154D" w:rsidRPr="007C4B78" w:rsidRDefault="0024154D" w:rsidP="004D12C3">
      <w:pPr>
        <w:pStyle w:val="BodyTextIndent"/>
        <w:ind w:left="142"/>
        <w:rPr>
          <w:rFonts w:asciiTheme="majorHAnsi" w:hAnsiTheme="majorHAnsi" w:cs="Arial"/>
          <w:sz w:val="24"/>
          <w:lang w:val="en-GB"/>
        </w:rPr>
      </w:pPr>
    </w:p>
    <w:p w14:paraId="484B0D48" w14:textId="77777777" w:rsidR="00C044C5" w:rsidRPr="007C4B78" w:rsidRDefault="0024154D" w:rsidP="004D12C3">
      <w:pPr>
        <w:ind w:left="142"/>
        <w:jc w:val="both"/>
        <w:rPr>
          <w:rFonts w:asciiTheme="majorHAnsi" w:hAnsiTheme="majorHAnsi" w:cs="Arial"/>
        </w:rPr>
      </w:pPr>
      <w:r w:rsidRPr="007C4B78">
        <w:rPr>
          <w:rFonts w:asciiTheme="majorHAnsi" w:hAnsiTheme="majorHAnsi" w:cs="Arial"/>
        </w:rPr>
        <w:t>4. Advocacy actions to ensure that the methodology, the standards and the training materials are disseminated to and considered by policy-makers in all</w:t>
      </w:r>
      <w:r w:rsidR="00A545B0" w:rsidRPr="007C4B78">
        <w:rPr>
          <w:rFonts w:asciiTheme="majorHAnsi" w:hAnsiTheme="majorHAnsi" w:cs="Arial"/>
        </w:rPr>
        <w:t xml:space="preserve"> EU</w:t>
      </w:r>
      <w:r w:rsidRPr="007C4B78">
        <w:rPr>
          <w:rFonts w:asciiTheme="majorHAnsi" w:hAnsiTheme="majorHAnsi" w:cs="Arial"/>
        </w:rPr>
        <w:t xml:space="preserve"> member states.</w:t>
      </w:r>
    </w:p>
    <w:p w14:paraId="024956C8" w14:textId="77777777" w:rsidR="000323CE" w:rsidRPr="007C4B78" w:rsidRDefault="002A1CCC" w:rsidP="004D12C3">
      <w:pPr>
        <w:pStyle w:val="Heading2"/>
        <w:jc w:val="both"/>
        <w:rPr>
          <w:rFonts w:asciiTheme="majorHAnsi" w:hAnsiTheme="majorHAnsi"/>
        </w:rPr>
      </w:pPr>
      <w:bookmarkStart w:id="3" w:name="_Toc417303130"/>
      <w:r w:rsidRPr="007C4B78">
        <w:rPr>
          <w:rFonts w:asciiTheme="majorHAnsi" w:hAnsiTheme="majorHAnsi"/>
        </w:rPr>
        <w:t>Website</w:t>
      </w:r>
      <w:bookmarkEnd w:id="3"/>
    </w:p>
    <w:p w14:paraId="5292DF0B" w14:textId="77777777" w:rsidR="00C12732" w:rsidRPr="007C4B78" w:rsidRDefault="00C530D3" w:rsidP="004D12C3">
      <w:pPr>
        <w:jc w:val="both"/>
        <w:rPr>
          <w:rFonts w:asciiTheme="majorHAnsi" w:hAnsiTheme="majorHAnsi"/>
        </w:rPr>
      </w:pPr>
      <w:r w:rsidRPr="007C4B78">
        <w:rPr>
          <w:rFonts w:asciiTheme="majorHAnsi" w:hAnsiTheme="majorHAnsi"/>
        </w:rPr>
        <w:t xml:space="preserve">As a part of the </w:t>
      </w:r>
      <w:r w:rsidR="0024154D" w:rsidRPr="007C4B78">
        <w:rPr>
          <w:rFonts w:asciiTheme="majorHAnsi" w:hAnsiTheme="majorHAnsi"/>
        </w:rPr>
        <w:t xml:space="preserve">third objective of the </w:t>
      </w:r>
      <w:r w:rsidRPr="007C4B78">
        <w:rPr>
          <w:rFonts w:asciiTheme="majorHAnsi" w:hAnsiTheme="majorHAnsi"/>
        </w:rPr>
        <w:t>project</w:t>
      </w:r>
      <w:r w:rsidR="00A545B0" w:rsidRPr="007C4B78">
        <w:rPr>
          <w:rFonts w:asciiTheme="majorHAnsi" w:hAnsiTheme="majorHAnsi"/>
        </w:rPr>
        <w:t>,</w:t>
      </w:r>
      <w:r w:rsidRPr="007C4B78">
        <w:rPr>
          <w:rFonts w:asciiTheme="majorHAnsi" w:hAnsiTheme="majorHAnsi"/>
        </w:rPr>
        <w:t xml:space="preserve"> an education and training website was created.</w:t>
      </w:r>
      <w:r w:rsidR="00925EF3" w:rsidRPr="007C4B78">
        <w:rPr>
          <w:rFonts w:asciiTheme="majorHAnsi" w:hAnsiTheme="majorHAnsi"/>
        </w:rPr>
        <w:t xml:space="preserve"> In addition to introductory information on key concepts</w:t>
      </w:r>
      <w:r w:rsidR="00A545B0" w:rsidRPr="007C4B78">
        <w:rPr>
          <w:rFonts w:asciiTheme="majorHAnsi" w:hAnsiTheme="majorHAnsi"/>
        </w:rPr>
        <w:t xml:space="preserve"> concerning access to justice</w:t>
      </w:r>
      <w:r w:rsidR="00925EF3" w:rsidRPr="007C4B78">
        <w:rPr>
          <w:rFonts w:asciiTheme="majorHAnsi" w:hAnsiTheme="majorHAnsi"/>
        </w:rPr>
        <w:t xml:space="preserve"> the website </w:t>
      </w:r>
      <w:r w:rsidR="00C90812" w:rsidRPr="007C4B78">
        <w:rPr>
          <w:rFonts w:asciiTheme="majorHAnsi" w:hAnsiTheme="majorHAnsi"/>
        </w:rPr>
        <w:t>also contains information about examples of good practices related to access to justice for children with mental disabilities</w:t>
      </w:r>
      <w:r w:rsidR="00925EF3" w:rsidRPr="007C4B78">
        <w:rPr>
          <w:rFonts w:asciiTheme="majorHAnsi" w:hAnsiTheme="majorHAnsi"/>
        </w:rPr>
        <w:t>.</w:t>
      </w:r>
      <w:r w:rsidR="00220E3A" w:rsidRPr="007C4B78">
        <w:rPr>
          <w:rFonts w:asciiTheme="majorHAnsi" w:hAnsiTheme="majorHAnsi"/>
        </w:rPr>
        <w:t xml:space="preserve"> The website also contains a sample syllabus that can be used by training and teaching professionals who want to further explore concepts that relate to access to justice for children with mental disabilities. A bibliography is available on the website and contains relevant training toolkits, reports, academic articles, and videos as well as child-friendly and easy-to-read materials.</w:t>
      </w:r>
      <w:r w:rsidRPr="007C4B78">
        <w:rPr>
          <w:rFonts w:asciiTheme="majorHAnsi" w:hAnsiTheme="majorHAnsi"/>
        </w:rPr>
        <w:t xml:space="preserve"> The </w:t>
      </w:r>
      <w:r w:rsidR="002E0C25" w:rsidRPr="007C4B78">
        <w:rPr>
          <w:rFonts w:asciiTheme="majorHAnsi" w:hAnsiTheme="majorHAnsi"/>
        </w:rPr>
        <w:t>website is available in</w:t>
      </w:r>
      <w:r w:rsidR="00256F32" w:rsidRPr="007C4B78">
        <w:rPr>
          <w:rFonts w:asciiTheme="majorHAnsi" w:hAnsiTheme="majorHAnsi"/>
        </w:rPr>
        <w:t xml:space="preserve"> all</w:t>
      </w:r>
      <w:r w:rsidR="002E0C25" w:rsidRPr="007C4B78">
        <w:rPr>
          <w:rFonts w:asciiTheme="majorHAnsi" w:hAnsiTheme="majorHAnsi"/>
        </w:rPr>
        <w:t xml:space="preserve"> </w:t>
      </w:r>
      <w:r w:rsidR="00BA750C" w:rsidRPr="007C4B78">
        <w:rPr>
          <w:rFonts w:asciiTheme="majorHAnsi" w:hAnsiTheme="majorHAnsi"/>
        </w:rPr>
        <w:t>the national</w:t>
      </w:r>
      <w:r w:rsidR="00256F32" w:rsidRPr="007C4B78">
        <w:rPr>
          <w:rFonts w:asciiTheme="majorHAnsi" w:hAnsiTheme="majorHAnsi"/>
        </w:rPr>
        <w:t xml:space="preserve"> languages</w:t>
      </w:r>
      <w:r w:rsidR="00A545B0" w:rsidRPr="007C4B78">
        <w:rPr>
          <w:rFonts w:asciiTheme="majorHAnsi" w:hAnsiTheme="majorHAnsi"/>
        </w:rPr>
        <w:t xml:space="preserve"> of countries which participated in the project</w:t>
      </w:r>
      <w:r w:rsidR="000323CE" w:rsidRPr="007C4B78">
        <w:rPr>
          <w:rFonts w:asciiTheme="majorHAnsi" w:hAnsiTheme="majorHAnsi"/>
        </w:rPr>
        <w:t>.</w:t>
      </w:r>
    </w:p>
    <w:p w14:paraId="67837F2A" w14:textId="77777777" w:rsidR="00F07B2C" w:rsidRPr="007C4B78" w:rsidRDefault="000323CE" w:rsidP="004D12C3">
      <w:pPr>
        <w:pStyle w:val="Heading2"/>
        <w:jc w:val="both"/>
        <w:rPr>
          <w:rFonts w:asciiTheme="majorHAnsi" w:hAnsiTheme="majorHAnsi"/>
        </w:rPr>
      </w:pPr>
      <w:bookmarkStart w:id="4" w:name="_Toc417303131"/>
      <w:r w:rsidRPr="007C4B78">
        <w:rPr>
          <w:rFonts w:asciiTheme="majorHAnsi" w:hAnsiTheme="majorHAnsi"/>
        </w:rPr>
        <w:t>About the Report</w:t>
      </w:r>
      <w:bookmarkEnd w:id="4"/>
    </w:p>
    <w:p w14:paraId="3AB25AC1" w14:textId="77777777" w:rsidR="0024154D" w:rsidRPr="007C4B78" w:rsidRDefault="000323CE" w:rsidP="004D12C3">
      <w:pPr>
        <w:jc w:val="both"/>
        <w:rPr>
          <w:rFonts w:asciiTheme="majorHAnsi" w:hAnsiTheme="majorHAnsi"/>
        </w:rPr>
      </w:pPr>
      <w:r w:rsidRPr="007C4B78">
        <w:rPr>
          <w:rFonts w:asciiTheme="majorHAnsi" w:hAnsiTheme="majorHAnsi"/>
        </w:rPr>
        <w:t>This report has been written and compiled fro</w:t>
      </w:r>
      <w:r w:rsidR="007A506F" w:rsidRPr="007C4B78">
        <w:rPr>
          <w:rFonts w:asciiTheme="majorHAnsi" w:hAnsiTheme="majorHAnsi"/>
        </w:rPr>
        <w:t xml:space="preserve">m </w:t>
      </w:r>
      <w:r w:rsidR="00A545B0" w:rsidRPr="007C4B78">
        <w:rPr>
          <w:rFonts w:asciiTheme="majorHAnsi" w:hAnsiTheme="majorHAnsi"/>
        </w:rPr>
        <w:t>several country update reports</w:t>
      </w:r>
      <w:r w:rsidR="007A506F" w:rsidRPr="007C4B78">
        <w:rPr>
          <w:rFonts w:asciiTheme="majorHAnsi" w:hAnsiTheme="majorHAnsi"/>
        </w:rPr>
        <w:t xml:space="preserve"> created for the project </w:t>
      </w:r>
      <w:r w:rsidR="00E949D0" w:rsidRPr="007C4B78">
        <w:rPr>
          <w:rFonts w:asciiTheme="majorHAnsi" w:hAnsiTheme="majorHAnsi"/>
        </w:rPr>
        <w:t>since 2013.</w:t>
      </w:r>
      <w:r w:rsidR="007A506F" w:rsidRPr="007C4B78">
        <w:rPr>
          <w:rFonts w:asciiTheme="majorHAnsi" w:hAnsiTheme="majorHAnsi"/>
        </w:rPr>
        <w:t xml:space="preserve">  T</w:t>
      </w:r>
      <w:r w:rsidR="00E949D0" w:rsidRPr="007C4B78">
        <w:rPr>
          <w:rFonts w:asciiTheme="majorHAnsi" w:hAnsiTheme="majorHAnsi"/>
        </w:rPr>
        <w:t>he</w:t>
      </w:r>
      <w:r w:rsidR="00A545B0" w:rsidRPr="007C4B78">
        <w:rPr>
          <w:rFonts w:asciiTheme="majorHAnsi" w:hAnsiTheme="majorHAnsi"/>
        </w:rPr>
        <w:t>se</w:t>
      </w:r>
      <w:r w:rsidR="00E949D0" w:rsidRPr="007C4B78">
        <w:rPr>
          <w:rFonts w:asciiTheme="majorHAnsi" w:hAnsiTheme="majorHAnsi"/>
        </w:rPr>
        <w:t xml:space="preserve"> reports rely heavily on desk-</w:t>
      </w:r>
      <w:r w:rsidR="007A506F" w:rsidRPr="007C4B78">
        <w:rPr>
          <w:rFonts w:asciiTheme="majorHAnsi" w:hAnsiTheme="majorHAnsi"/>
        </w:rPr>
        <w:t xml:space="preserve">based research and also include information from interviews with parents of children </w:t>
      </w:r>
      <w:r w:rsidR="007A506F" w:rsidRPr="007C4B78">
        <w:rPr>
          <w:rFonts w:asciiTheme="majorHAnsi" w:hAnsiTheme="majorHAnsi"/>
        </w:rPr>
        <w:lastRenderedPageBreak/>
        <w:t xml:space="preserve">with intellectual disabilities, autism and mental health </w:t>
      </w:r>
      <w:r w:rsidR="00A545B0" w:rsidRPr="007C4B78">
        <w:rPr>
          <w:rFonts w:asciiTheme="majorHAnsi" w:hAnsiTheme="majorHAnsi"/>
        </w:rPr>
        <w:t>issues</w:t>
      </w:r>
      <w:r w:rsidR="007A506F" w:rsidRPr="007C4B78">
        <w:rPr>
          <w:rFonts w:asciiTheme="majorHAnsi" w:hAnsiTheme="majorHAnsi"/>
        </w:rPr>
        <w:t>, legal professionals</w:t>
      </w:r>
      <w:r w:rsidR="00BA6B98" w:rsidRPr="007C4B78">
        <w:rPr>
          <w:rFonts w:asciiTheme="majorHAnsi" w:hAnsiTheme="majorHAnsi"/>
        </w:rPr>
        <w:t xml:space="preserve">, social workers, NGO </w:t>
      </w:r>
      <w:r w:rsidR="00A545B0" w:rsidRPr="007C4B78">
        <w:rPr>
          <w:rFonts w:asciiTheme="majorHAnsi" w:hAnsiTheme="majorHAnsi"/>
        </w:rPr>
        <w:t xml:space="preserve">representatives </w:t>
      </w:r>
      <w:r w:rsidR="007A506F" w:rsidRPr="007C4B78">
        <w:rPr>
          <w:rFonts w:asciiTheme="majorHAnsi" w:hAnsiTheme="majorHAnsi"/>
        </w:rPr>
        <w:t xml:space="preserve">and academics. </w:t>
      </w:r>
      <w:r w:rsidR="00A545B0" w:rsidRPr="007C4B78">
        <w:rPr>
          <w:rFonts w:asciiTheme="majorHAnsi" w:hAnsiTheme="majorHAnsi"/>
        </w:rPr>
        <w:t>M</w:t>
      </w:r>
      <w:r w:rsidR="00E949D0" w:rsidRPr="007C4B78">
        <w:rPr>
          <w:rFonts w:asciiTheme="majorHAnsi" w:hAnsiTheme="majorHAnsi"/>
        </w:rPr>
        <w:t>any e</w:t>
      </w:r>
      <w:r w:rsidR="00217EFA" w:rsidRPr="007C4B78">
        <w:rPr>
          <w:rFonts w:asciiTheme="majorHAnsi" w:hAnsiTheme="majorHAnsi"/>
        </w:rPr>
        <w:t>xcellent reports on children in care, children in the prison system, and special education in Ireland have been written</w:t>
      </w:r>
      <w:r w:rsidR="00F65005" w:rsidRPr="007C4B78">
        <w:rPr>
          <w:rFonts w:asciiTheme="majorHAnsi" w:hAnsiTheme="majorHAnsi"/>
        </w:rPr>
        <w:t xml:space="preserve"> by </w:t>
      </w:r>
      <w:r w:rsidR="00217EFA" w:rsidRPr="007C4B78">
        <w:rPr>
          <w:rFonts w:asciiTheme="majorHAnsi" w:hAnsiTheme="majorHAnsi"/>
        </w:rPr>
        <w:t>NGOs and academics</w:t>
      </w:r>
      <w:r w:rsidR="00A545B0" w:rsidRPr="007C4B78">
        <w:rPr>
          <w:rFonts w:asciiTheme="majorHAnsi" w:hAnsiTheme="majorHAnsi"/>
        </w:rPr>
        <w:t xml:space="preserve">; </w:t>
      </w:r>
      <w:r w:rsidR="00BA750C" w:rsidRPr="007C4B78">
        <w:rPr>
          <w:rFonts w:asciiTheme="majorHAnsi" w:hAnsiTheme="majorHAnsi"/>
        </w:rPr>
        <w:t>however this</w:t>
      </w:r>
      <w:r w:rsidR="00A545B0" w:rsidRPr="007C4B78">
        <w:rPr>
          <w:rFonts w:asciiTheme="majorHAnsi" w:hAnsiTheme="majorHAnsi"/>
        </w:rPr>
        <w:t xml:space="preserve"> report examines</w:t>
      </w:r>
      <w:r w:rsidR="00217EFA" w:rsidRPr="007C4B78">
        <w:rPr>
          <w:rFonts w:asciiTheme="majorHAnsi" w:hAnsiTheme="majorHAnsi"/>
        </w:rPr>
        <w:t xml:space="preserve"> all these processes and procedures collectively to see how</w:t>
      </w:r>
      <w:r w:rsidR="00E949D0" w:rsidRPr="007C4B78">
        <w:rPr>
          <w:rFonts w:asciiTheme="majorHAnsi" w:hAnsiTheme="majorHAnsi"/>
        </w:rPr>
        <w:t xml:space="preserve"> children with cognitive disabilities access justice as a whole</w:t>
      </w:r>
      <w:r w:rsidR="00A545B0" w:rsidRPr="007C4B78">
        <w:rPr>
          <w:rFonts w:asciiTheme="majorHAnsi" w:hAnsiTheme="majorHAnsi"/>
        </w:rPr>
        <w:t xml:space="preserve"> in Ireland</w:t>
      </w:r>
      <w:r w:rsidR="00217EFA" w:rsidRPr="007C4B78">
        <w:rPr>
          <w:rFonts w:asciiTheme="majorHAnsi" w:hAnsiTheme="majorHAnsi"/>
        </w:rPr>
        <w:t xml:space="preserve">. The other unique aspect of this project and report is </w:t>
      </w:r>
      <w:r w:rsidR="00A545B0" w:rsidRPr="007C4B78">
        <w:rPr>
          <w:rFonts w:asciiTheme="majorHAnsi" w:hAnsiTheme="majorHAnsi"/>
        </w:rPr>
        <w:t>its focus on</w:t>
      </w:r>
      <w:r w:rsidR="00217EFA" w:rsidRPr="007C4B78">
        <w:rPr>
          <w:rFonts w:asciiTheme="majorHAnsi" w:hAnsiTheme="majorHAnsi"/>
        </w:rPr>
        <w:t xml:space="preserve"> children with </w:t>
      </w:r>
      <w:r w:rsidR="00CF0F5B" w:rsidRPr="007C4B78">
        <w:rPr>
          <w:rFonts w:asciiTheme="majorHAnsi" w:hAnsiTheme="majorHAnsi"/>
        </w:rPr>
        <w:t>cognitive disab</w:t>
      </w:r>
      <w:r w:rsidR="00217EFA" w:rsidRPr="007C4B78">
        <w:rPr>
          <w:rFonts w:asciiTheme="majorHAnsi" w:hAnsiTheme="majorHAnsi"/>
        </w:rPr>
        <w:t xml:space="preserve">ilities as a distinct group. </w:t>
      </w:r>
      <w:r w:rsidR="00A545B0" w:rsidRPr="007C4B78">
        <w:rPr>
          <w:rFonts w:asciiTheme="majorHAnsi" w:hAnsiTheme="majorHAnsi"/>
        </w:rPr>
        <w:t>T</w:t>
      </w:r>
      <w:r w:rsidR="00217EFA" w:rsidRPr="007C4B78">
        <w:rPr>
          <w:rFonts w:asciiTheme="majorHAnsi" w:hAnsiTheme="majorHAnsi"/>
        </w:rPr>
        <w:t>here are</w:t>
      </w:r>
      <w:r w:rsidR="00A545B0" w:rsidRPr="007C4B78">
        <w:rPr>
          <w:rFonts w:asciiTheme="majorHAnsi" w:hAnsiTheme="majorHAnsi"/>
        </w:rPr>
        <w:t xml:space="preserve"> existing Irish</w:t>
      </w:r>
      <w:r w:rsidR="00217EFA" w:rsidRPr="007C4B78">
        <w:rPr>
          <w:rFonts w:asciiTheme="majorHAnsi" w:hAnsiTheme="majorHAnsi"/>
        </w:rPr>
        <w:t xml:space="preserve"> reports on access to justice for </w:t>
      </w:r>
      <w:r w:rsidR="00A545B0" w:rsidRPr="007C4B78">
        <w:rPr>
          <w:rFonts w:asciiTheme="majorHAnsi" w:hAnsiTheme="majorHAnsi"/>
        </w:rPr>
        <w:t>adults</w:t>
      </w:r>
      <w:r w:rsidR="00217EFA" w:rsidRPr="007C4B78">
        <w:rPr>
          <w:rFonts w:asciiTheme="majorHAnsi" w:hAnsiTheme="majorHAnsi"/>
        </w:rPr>
        <w:t xml:space="preserve"> with disabilities and</w:t>
      </w:r>
      <w:r w:rsidR="00E949D0" w:rsidRPr="007C4B78">
        <w:rPr>
          <w:rFonts w:asciiTheme="majorHAnsi" w:hAnsiTheme="majorHAnsi"/>
        </w:rPr>
        <w:t xml:space="preserve"> for </w:t>
      </w:r>
      <w:r w:rsidR="00217EFA" w:rsidRPr="007C4B78">
        <w:rPr>
          <w:rFonts w:asciiTheme="majorHAnsi" w:hAnsiTheme="majorHAnsi"/>
        </w:rPr>
        <w:t>children</w:t>
      </w:r>
      <w:r w:rsidR="00E949D0" w:rsidRPr="007C4B78">
        <w:rPr>
          <w:rFonts w:asciiTheme="majorHAnsi" w:hAnsiTheme="majorHAnsi"/>
        </w:rPr>
        <w:t xml:space="preserve"> without disabilities</w:t>
      </w:r>
      <w:r w:rsidR="00217EFA" w:rsidRPr="007C4B78">
        <w:rPr>
          <w:rFonts w:asciiTheme="majorHAnsi" w:hAnsiTheme="majorHAnsi"/>
        </w:rPr>
        <w:t xml:space="preserve"> but little </w:t>
      </w:r>
      <w:r w:rsidR="00F65005" w:rsidRPr="007C4B78">
        <w:rPr>
          <w:rFonts w:asciiTheme="majorHAnsi" w:hAnsiTheme="majorHAnsi"/>
        </w:rPr>
        <w:t xml:space="preserve">examination of how children with </w:t>
      </w:r>
      <w:r w:rsidR="00CF0F5B" w:rsidRPr="007C4B78">
        <w:rPr>
          <w:rFonts w:asciiTheme="majorHAnsi" w:hAnsiTheme="majorHAnsi"/>
        </w:rPr>
        <w:t xml:space="preserve">cognitive </w:t>
      </w:r>
      <w:r w:rsidR="00BA750C" w:rsidRPr="007C4B78">
        <w:rPr>
          <w:rFonts w:asciiTheme="majorHAnsi" w:hAnsiTheme="majorHAnsi"/>
        </w:rPr>
        <w:t>disabilities fare</w:t>
      </w:r>
      <w:r w:rsidR="00F65005" w:rsidRPr="007C4B78">
        <w:rPr>
          <w:rFonts w:asciiTheme="majorHAnsi" w:hAnsiTheme="majorHAnsi"/>
        </w:rPr>
        <w:t xml:space="preserve"> in the variety of administrative, criminal and civil proceedings</w:t>
      </w:r>
      <w:r w:rsidR="00E949D0" w:rsidRPr="007C4B78">
        <w:rPr>
          <w:rFonts w:asciiTheme="majorHAnsi" w:hAnsiTheme="majorHAnsi"/>
        </w:rPr>
        <w:t xml:space="preserve"> they encounter in Ireland</w:t>
      </w:r>
      <w:r w:rsidR="00F65005" w:rsidRPr="007C4B78">
        <w:rPr>
          <w:rFonts w:asciiTheme="majorHAnsi" w:hAnsiTheme="majorHAnsi"/>
        </w:rPr>
        <w:t xml:space="preserve">. </w:t>
      </w:r>
    </w:p>
    <w:p w14:paraId="6750788D" w14:textId="77777777" w:rsidR="00DE4A0C" w:rsidRPr="007C4B78" w:rsidRDefault="00F07B2C" w:rsidP="004D12C3">
      <w:pPr>
        <w:pStyle w:val="Heading3"/>
        <w:jc w:val="both"/>
        <w:rPr>
          <w:color w:val="auto"/>
        </w:rPr>
      </w:pPr>
      <w:bookmarkStart w:id="5" w:name="_Toc417303132"/>
      <w:r w:rsidRPr="007C4B78">
        <w:rPr>
          <w:color w:val="auto"/>
        </w:rPr>
        <w:t>Meaning of Access to Justice</w:t>
      </w:r>
      <w:bookmarkEnd w:id="5"/>
    </w:p>
    <w:p w14:paraId="152D9C48" w14:textId="77777777" w:rsidR="00817D54" w:rsidRPr="007C4B78" w:rsidRDefault="00DE4A0C" w:rsidP="004D12C3">
      <w:pPr>
        <w:jc w:val="both"/>
        <w:rPr>
          <w:rFonts w:asciiTheme="majorHAnsi" w:hAnsiTheme="majorHAnsi"/>
        </w:rPr>
      </w:pPr>
      <w:r w:rsidRPr="007C4B78">
        <w:rPr>
          <w:rFonts w:asciiTheme="majorHAnsi" w:hAnsiTheme="majorHAnsi"/>
        </w:rPr>
        <w:t xml:space="preserve">The project examined access to justice for children with </w:t>
      </w:r>
      <w:r w:rsidR="00CF0F5B" w:rsidRPr="007C4B78">
        <w:rPr>
          <w:rFonts w:asciiTheme="majorHAnsi" w:hAnsiTheme="majorHAnsi"/>
        </w:rPr>
        <w:t>cognitive disabilities</w:t>
      </w:r>
      <w:r w:rsidRPr="007C4B78">
        <w:rPr>
          <w:rFonts w:asciiTheme="majorHAnsi" w:hAnsiTheme="majorHAnsi"/>
        </w:rPr>
        <w:t xml:space="preserve"> by researching access to information</w:t>
      </w:r>
      <w:r w:rsidR="002E0C25" w:rsidRPr="007C4B78">
        <w:rPr>
          <w:rFonts w:asciiTheme="majorHAnsi" w:hAnsiTheme="majorHAnsi"/>
        </w:rPr>
        <w:t>, legal representation, a child’</w:t>
      </w:r>
      <w:r w:rsidRPr="007C4B78">
        <w:rPr>
          <w:rFonts w:asciiTheme="majorHAnsi" w:hAnsiTheme="majorHAnsi"/>
        </w:rPr>
        <w:t>s ability to participate in a proceeding, protection of children and their privacy in proceedings,</w:t>
      </w:r>
      <w:r w:rsidR="00F65005" w:rsidRPr="007C4B78">
        <w:rPr>
          <w:rFonts w:asciiTheme="majorHAnsi" w:hAnsiTheme="majorHAnsi"/>
        </w:rPr>
        <w:t xml:space="preserve"> accessibility of proceedings, </w:t>
      </w:r>
      <w:r w:rsidRPr="007C4B78">
        <w:rPr>
          <w:rFonts w:asciiTheme="majorHAnsi" w:hAnsiTheme="majorHAnsi"/>
        </w:rPr>
        <w:t>and</w:t>
      </w:r>
      <w:r w:rsidR="002E0C25" w:rsidRPr="007C4B78">
        <w:rPr>
          <w:rFonts w:asciiTheme="majorHAnsi" w:hAnsiTheme="majorHAnsi"/>
        </w:rPr>
        <w:t xml:space="preserve"> the</w:t>
      </w:r>
      <w:r w:rsidRPr="007C4B78">
        <w:rPr>
          <w:rFonts w:asciiTheme="majorHAnsi" w:hAnsiTheme="majorHAnsi"/>
        </w:rPr>
        <w:t xml:space="preserve"> availability of appropriate training to relevant professionals in the justice field. </w:t>
      </w:r>
    </w:p>
    <w:p w14:paraId="11D12E95" w14:textId="77777777" w:rsidR="00817D54" w:rsidRPr="007C4B78" w:rsidRDefault="00817D54" w:rsidP="004D12C3">
      <w:pPr>
        <w:pStyle w:val="Heading3"/>
        <w:jc w:val="both"/>
        <w:rPr>
          <w:color w:val="auto"/>
        </w:rPr>
      </w:pPr>
      <w:bookmarkStart w:id="6" w:name="_Toc417303133"/>
      <w:r w:rsidRPr="007C4B78">
        <w:rPr>
          <w:color w:val="auto"/>
        </w:rPr>
        <w:t>Focus Areas on Access</w:t>
      </w:r>
      <w:r w:rsidR="007B05AD" w:rsidRPr="007C4B78">
        <w:rPr>
          <w:color w:val="auto"/>
        </w:rPr>
        <w:t xml:space="preserve"> to Justice</w:t>
      </w:r>
      <w:bookmarkEnd w:id="6"/>
    </w:p>
    <w:p w14:paraId="20F4B4FD" w14:textId="77777777" w:rsidR="003857BB" w:rsidRPr="007C4B78" w:rsidRDefault="00DC1F36" w:rsidP="004D12C3">
      <w:pPr>
        <w:jc w:val="both"/>
        <w:rPr>
          <w:rFonts w:asciiTheme="majorHAnsi" w:hAnsiTheme="majorHAnsi"/>
        </w:rPr>
      </w:pPr>
      <w:r w:rsidRPr="007C4B78">
        <w:rPr>
          <w:rFonts w:asciiTheme="majorHAnsi" w:hAnsiTheme="majorHAnsi"/>
        </w:rPr>
        <w:t xml:space="preserve">The project </w:t>
      </w:r>
      <w:r w:rsidR="00A545B0" w:rsidRPr="007C4B78">
        <w:rPr>
          <w:rFonts w:asciiTheme="majorHAnsi" w:hAnsiTheme="majorHAnsi"/>
        </w:rPr>
        <w:t>focused on access to justice in</w:t>
      </w:r>
      <w:r w:rsidRPr="007C4B78">
        <w:rPr>
          <w:rFonts w:asciiTheme="majorHAnsi" w:hAnsiTheme="majorHAnsi"/>
        </w:rPr>
        <w:t xml:space="preserve"> three main areas of a child's life: education, decisions about where a child lives and the criminal justice system.</w:t>
      </w:r>
      <w:r w:rsidR="00817D54" w:rsidRPr="007C4B78">
        <w:rPr>
          <w:rFonts w:asciiTheme="majorHAnsi" w:hAnsiTheme="majorHAnsi"/>
        </w:rPr>
        <w:t xml:space="preserve"> For education in Ireland we focused</w:t>
      </w:r>
      <w:r w:rsidR="00A545B0" w:rsidRPr="007C4B78">
        <w:rPr>
          <w:rFonts w:asciiTheme="majorHAnsi" w:hAnsiTheme="majorHAnsi"/>
        </w:rPr>
        <w:t xml:space="preserve"> on</w:t>
      </w:r>
      <w:r w:rsidR="00817D54" w:rsidRPr="007C4B78">
        <w:rPr>
          <w:rFonts w:asciiTheme="majorHAnsi" w:hAnsiTheme="majorHAnsi"/>
        </w:rPr>
        <w:t xml:space="preserve"> assessments of needs, ability to access mainstream schooling and appropriate supports.  In </w:t>
      </w:r>
      <w:r w:rsidR="00A545B0" w:rsidRPr="007C4B78">
        <w:rPr>
          <w:rFonts w:asciiTheme="majorHAnsi" w:hAnsiTheme="majorHAnsi"/>
        </w:rPr>
        <w:t>researching decisions about</w:t>
      </w:r>
      <w:r w:rsidR="00817D54" w:rsidRPr="007C4B78">
        <w:rPr>
          <w:rFonts w:asciiTheme="majorHAnsi" w:hAnsiTheme="majorHAnsi"/>
        </w:rPr>
        <w:t xml:space="preserve"> where a child lives we </w:t>
      </w:r>
      <w:r w:rsidR="00A545B0" w:rsidRPr="007C4B78">
        <w:rPr>
          <w:rFonts w:asciiTheme="majorHAnsi" w:hAnsiTheme="majorHAnsi"/>
        </w:rPr>
        <w:t>examined relevant law on</w:t>
      </w:r>
      <w:r w:rsidR="00817D54" w:rsidRPr="007C4B78">
        <w:rPr>
          <w:rFonts w:asciiTheme="majorHAnsi" w:hAnsiTheme="majorHAnsi"/>
        </w:rPr>
        <w:t xml:space="preserve"> custody and care proceedings as well as </w:t>
      </w:r>
      <w:r w:rsidR="00D607BC" w:rsidRPr="007C4B78">
        <w:rPr>
          <w:rFonts w:asciiTheme="majorHAnsi" w:hAnsiTheme="majorHAnsi"/>
        </w:rPr>
        <w:t xml:space="preserve">institutional care. In </w:t>
      </w:r>
      <w:r w:rsidR="00F65005" w:rsidRPr="007C4B78">
        <w:rPr>
          <w:rFonts w:asciiTheme="majorHAnsi" w:hAnsiTheme="majorHAnsi"/>
        </w:rPr>
        <w:t>researching criminal</w:t>
      </w:r>
      <w:r w:rsidR="00D607BC" w:rsidRPr="007C4B78">
        <w:rPr>
          <w:rFonts w:asciiTheme="majorHAnsi" w:hAnsiTheme="majorHAnsi"/>
        </w:rPr>
        <w:t xml:space="preserve"> justice procedures and their accessibility to children with </w:t>
      </w:r>
      <w:r w:rsidR="00CF0F5B" w:rsidRPr="007C4B78">
        <w:rPr>
          <w:rFonts w:asciiTheme="majorHAnsi" w:hAnsiTheme="majorHAnsi"/>
        </w:rPr>
        <w:t>cognitive disabilities</w:t>
      </w:r>
      <w:r w:rsidR="00D607BC" w:rsidRPr="007C4B78">
        <w:rPr>
          <w:rFonts w:asciiTheme="majorHAnsi" w:hAnsiTheme="majorHAnsi"/>
        </w:rPr>
        <w:t xml:space="preserve"> the project </w:t>
      </w:r>
      <w:r w:rsidR="00A545B0" w:rsidRPr="007C4B78">
        <w:rPr>
          <w:rFonts w:asciiTheme="majorHAnsi" w:hAnsiTheme="majorHAnsi"/>
        </w:rPr>
        <w:t>addressed</w:t>
      </w:r>
      <w:r w:rsidR="00D607BC" w:rsidRPr="007C4B78">
        <w:rPr>
          <w:rFonts w:asciiTheme="majorHAnsi" w:hAnsiTheme="majorHAnsi"/>
        </w:rPr>
        <w:t xml:space="preserve"> the victim, witness and offender</w:t>
      </w:r>
      <w:r w:rsidR="00A545B0" w:rsidRPr="007C4B78">
        <w:rPr>
          <w:rFonts w:asciiTheme="majorHAnsi" w:hAnsiTheme="majorHAnsi"/>
        </w:rPr>
        <w:t>’s involvement in</w:t>
      </w:r>
      <w:r w:rsidR="00D607BC" w:rsidRPr="007C4B78">
        <w:rPr>
          <w:rFonts w:asciiTheme="majorHAnsi" w:hAnsiTheme="majorHAnsi"/>
        </w:rPr>
        <w:t xml:space="preserve"> the proceeding</w:t>
      </w:r>
      <w:r w:rsidR="00A545B0" w:rsidRPr="007C4B78">
        <w:rPr>
          <w:rFonts w:asciiTheme="majorHAnsi" w:hAnsiTheme="majorHAnsi"/>
        </w:rPr>
        <w:t>s</w:t>
      </w:r>
      <w:r w:rsidR="00D607BC" w:rsidRPr="007C4B78">
        <w:rPr>
          <w:rFonts w:asciiTheme="majorHAnsi" w:hAnsiTheme="majorHAnsi"/>
        </w:rPr>
        <w:t xml:space="preserve">. </w:t>
      </w:r>
    </w:p>
    <w:p w14:paraId="66D023DA" w14:textId="77777777" w:rsidR="0024154D" w:rsidRPr="007C4B78" w:rsidRDefault="0024154D" w:rsidP="004D12C3">
      <w:pPr>
        <w:jc w:val="both"/>
        <w:rPr>
          <w:rFonts w:asciiTheme="majorHAnsi" w:hAnsiTheme="majorHAnsi"/>
          <w:i/>
        </w:rPr>
      </w:pPr>
    </w:p>
    <w:p w14:paraId="59FC4925" w14:textId="77777777" w:rsidR="003857BB" w:rsidRPr="007C4B78" w:rsidRDefault="003857BB" w:rsidP="004D12C3">
      <w:pPr>
        <w:jc w:val="both"/>
        <w:rPr>
          <w:rFonts w:asciiTheme="majorHAnsi" w:hAnsiTheme="majorHAnsi"/>
          <w:i/>
        </w:rPr>
      </w:pPr>
      <w:r w:rsidRPr="007C4B78">
        <w:rPr>
          <w:rFonts w:asciiTheme="majorHAnsi" w:hAnsiTheme="majorHAnsi"/>
          <w:i/>
        </w:rPr>
        <w:t>Definition of Disability</w:t>
      </w:r>
    </w:p>
    <w:p w14:paraId="3E8F004F" w14:textId="77777777" w:rsidR="003857BB" w:rsidRPr="007C4B78" w:rsidRDefault="00A545B0" w:rsidP="004D12C3">
      <w:pPr>
        <w:jc w:val="both"/>
        <w:rPr>
          <w:rFonts w:asciiTheme="majorHAnsi" w:hAnsiTheme="majorHAnsi"/>
        </w:rPr>
      </w:pPr>
      <w:r w:rsidRPr="007C4B78">
        <w:rPr>
          <w:rFonts w:asciiTheme="majorHAnsi" w:hAnsiTheme="majorHAnsi"/>
        </w:rPr>
        <w:t>In the initial project proposal</w:t>
      </w:r>
      <w:r w:rsidR="003857BB" w:rsidRPr="007C4B78">
        <w:rPr>
          <w:rFonts w:asciiTheme="majorHAnsi" w:hAnsiTheme="majorHAnsi"/>
        </w:rPr>
        <w:t xml:space="preserve"> the term 'mental disabilities' was used and </w:t>
      </w:r>
      <w:r w:rsidR="00F65005" w:rsidRPr="007C4B78">
        <w:rPr>
          <w:rFonts w:asciiTheme="majorHAnsi" w:hAnsiTheme="majorHAnsi"/>
        </w:rPr>
        <w:t>includes children</w:t>
      </w:r>
      <w:r w:rsidR="003857BB" w:rsidRPr="007C4B78">
        <w:rPr>
          <w:rFonts w:asciiTheme="majorHAnsi" w:hAnsiTheme="majorHAnsi"/>
        </w:rPr>
        <w:t xml:space="preserve"> with intellectual disabilities and children with </w:t>
      </w:r>
      <w:r w:rsidR="00F65005" w:rsidRPr="007C4B78">
        <w:rPr>
          <w:rFonts w:asciiTheme="majorHAnsi" w:hAnsiTheme="majorHAnsi"/>
        </w:rPr>
        <w:t>psychosocial</w:t>
      </w:r>
      <w:r w:rsidR="003857BB" w:rsidRPr="007C4B78">
        <w:rPr>
          <w:rFonts w:asciiTheme="majorHAnsi" w:hAnsiTheme="majorHAnsi"/>
        </w:rPr>
        <w:t xml:space="preserve"> disabilities and/or mental health disabilities. </w:t>
      </w:r>
      <w:r w:rsidRPr="007C4B78">
        <w:rPr>
          <w:rFonts w:asciiTheme="majorHAnsi" w:hAnsiTheme="majorHAnsi"/>
        </w:rPr>
        <w:t xml:space="preserve">This </w:t>
      </w:r>
      <w:r w:rsidR="007E6CD3" w:rsidRPr="007C4B78">
        <w:rPr>
          <w:rFonts w:asciiTheme="majorHAnsi" w:hAnsiTheme="majorHAnsi"/>
        </w:rPr>
        <w:t>report</w:t>
      </w:r>
      <w:r w:rsidRPr="007C4B78">
        <w:rPr>
          <w:rFonts w:asciiTheme="majorHAnsi" w:hAnsiTheme="majorHAnsi"/>
        </w:rPr>
        <w:t xml:space="preserve"> on Ireland</w:t>
      </w:r>
      <w:r w:rsidR="007E6CD3" w:rsidRPr="007C4B78">
        <w:rPr>
          <w:rFonts w:asciiTheme="majorHAnsi" w:hAnsiTheme="majorHAnsi"/>
        </w:rPr>
        <w:t xml:space="preserve"> uses the term cognitive disabilities instead as that is a more acceptable</w:t>
      </w:r>
      <w:r w:rsidR="00AA598B" w:rsidRPr="007C4B78">
        <w:rPr>
          <w:rFonts w:asciiTheme="majorHAnsi" w:hAnsiTheme="majorHAnsi"/>
        </w:rPr>
        <w:t xml:space="preserve"> or familiar</w:t>
      </w:r>
      <w:r w:rsidR="007E6CD3" w:rsidRPr="007C4B78">
        <w:rPr>
          <w:rFonts w:asciiTheme="majorHAnsi" w:hAnsiTheme="majorHAnsi"/>
        </w:rPr>
        <w:t xml:space="preserve"> term in Ireland than the term ‘mental </w:t>
      </w:r>
      <w:r w:rsidR="00BA750C" w:rsidRPr="007C4B78">
        <w:rPr>
          <w:rFonts w:asciiTheme="majorHAnsi" w:hAnsiTheme="majorHAnsi"/>
        </w:rPr>
        <w:t>disabilities.</w:t>
      </w:r>
      <w:r w:rsidR="003B694B" w:rsidRPr="007C4B78">
        <w:rPr>
          <w:rFonts w:asciiTheme="majorHAnsi" w:hAnsiTheme="majorHAnsi"/>
        </w:rPr>
        <w:t>’</w:t>
      </w:r>
      <w:r w:rsidR="00BA750C" w:rsidRPr="007C4B78">
        <w:rPr>
          <w:rFonts w:asciiTheme="majorHAnsi" w:hAnsiTheme="majorHAnsi"/>
        </w:rPr>
        <w:t xml:space="preserve"> This</w:t>
      </w:r>
      <w:r w:rsidRPr="007C4B78">
        <w:rPr>
          <w:rFonts w:asciiTheme="majorHAnsi" w:hAnsiTheme="majorHAnsi"/>
        </w:rPr>
        <w:t xml:space="preserve"> report views</w:t>
      </w:r>
      <w:r w:rsidR="00F65005" w:rsidRPr="007C4B78">
        <w:rPr>
          <w:rFonts w:asciiTheme="majorHAnsi" w:hAnsiTheme="majorHAnsi"/>
        </w:rPr>
        <w:t xml:space="preserve"> disability through the lens of the social </w:t>
      </w:r>
      <w:r w:rsidRPr="007C4B78">
        <w:rPr>
          <w:rFonts w:asciiTheme="majorHAnsi" w:hAnsiTheme="majorHAnsi"/>
        </w:rPr>
        <w:t xml:space="preserve">and human rights </w:t>
      </w:r>
      <w:r w:rsidR="00F65005" w:rsidRPr="007C4B78">
        <w:rPr>
          <w:rFonts w:asciiTheme="majorHAnsi" w:hAnsiTheme="majorHAnsi"/>
        </w:rPr>
        <w:t>model</w:t>
      </w:r>
      <w:r w:rsidRPr="007C4B78">
        <w:rPr>
          <w:rFonts w:asciiTheme="majorHAnsi" w:hAnsiTheme="majorHAnsi"/>
        </w:rPr>
        <w:t>s</w:t>
      </w:r>
      <w:r w:rsidR="00F65005" w:rsidRPr="007C4B78">
        <w:rPr>
          <w:rFonts w:asciiTheme="majorHAnsi" w:hAnsiTheme="majorHAnsi"/>
        </w:rPr>
        <w:t xml:space="preserve"> of disability meaning that disability </w:t>
      </w:r>
      <w:r w:rsidRPr="007C4B78">
        <w:rPr>
          <w:rFonts w:asciiTheme="majorHAnsi" w:hAnsiTheme="majorHAnsi"/>
        </w:rPr>
        <w:t>stems from</w:t>
      </w:r>
      <w:r w:rsidR="00F65005" w:rsidRPr="007C4B78">
        <w:rPr>
          <w:rFonts w:asciiTheme="majorHAnsi" w:hAnsiTheme="majorHAnsi"/>
        </w:rPr>
        <w:t xml:space="preserve"> the societal barriers imposed on a person with </w:t>
      </w:r>
      <w:r w:rsidRPr="007C4B78">
        <w:rPr>
          <w:rFonts w:asciiTheme="majorHAnsi" w:hAnsiTheme="majorHAnsi"/>
        </w:rPr>
        <w:t xml:space="preserve">impairment(s) </w:t>
      </w:r>
      <w:r w:rsidR="00F65005" w:rsidRPr="007C4B78">
        <w:rPr>
          <w:rFonts w:asciiTheme="majorHAnsi" w:hAnsiTheme="majorHAnsi"/>
        </w:rPr>
        <w:t xml:space="preserve">and </w:t>
      </w:r>
      <w:r w:rsidRPr="007C4B78">
        <w:rPr>
          <w:rFonts w:asciiTheme="majorHAnsi" w:hAnsiTheme="majorHAnsi"/>
        </w:rPr>
        <w:t xml:space="preserve">is not inherent within </w:t>
      </w:r>
      <w:r w:rsidR="00F65005" w:rsidRPr="007C4B78">
        <w:rPr>
          <w:rFonts w:asciiTheme="majorHAnsi" w:hAnsiTheme="majorHAnsi"/>
        </w:rPr>
        <w:t>the person themselves.</w:t>
      </w:r>
      <w:r w:rsidR="00AA598B" w:rsidRPr="007C4B78">
        <w:rPr>
          <w:rFonts w:asciiTheme="majorHAnsi" w:hAnsiTheme="majorHAnsi"/>
        </w:rPr>
        <w:t xml:space="preserve"> It is important to note that while children with mental health issues are included in the definition of disability in the report</w:t>
      </w:r>
      <w:r w:rsidRPr="007C4B78">
        <w:rPr>
          <w:rFonts w:asciiTheme="majorHAnsi" w:hAnsiTheme="majorHAnsi"/>
        </w:rPr>
        <w:t>,</w:t>
      </w:r>
      <w:r w:rsidR="00AA598B" w:rsidRPr="007C4B78">
        <w:rPr>
          <w:rFonts w:asciiTheme="majorHAnsi" w:hAnsiTheme="majorHAnsi"/>
        </w:rPr>
        <w:t xml:space="preserve"> it is recogn</w:t>
      </w:r>
      <w:r w:rsidR="002E0C25" w:rsidRPr="007C4B78">
        <w:rPr>
          <w:rFonts w:asciiTheme="majorHAnsi" w:hAnsiTheme="majorHAnsi"/>
        </w:rPr>
        <w:t>ise</w:t>
      </w:r>
      <w:r w:rsidR="00AA598B" w:rsidRPr="007C4B78">
        <w:rPr>
          <w:rFonts w:asciiTheme="majorHAnsi" w:hAnsiTheme="majorHAnsi"/>
        </w:rPr>
        <w:t xml:space="preserve">d that not all these children would identify </w:t>
      </w:r>
      <w:proofErr w:type="gramStart"/>
      <w:r w:rsidR="00AA598B" w:rsidRPr="007C4B78">
        <w:rPr>
          <w:rFonts w:asciiTheme="majorHAnsi" w:hAnsiTheme="majorHAnsi"/>
        </w:rPr>
        <w:t>themselves</w:t>
      </w:r>
      <w:proofErr w:type="gramEnd"/>
      <w:r w:rsidR="00AA598B" w:rsidRPr="007C4B78">
        <w:rPr>
          <w:rFonts w:asciiTheme="majorHAnsi" w:hAnsiTheme="majorHAnsi"/>
        </w:rPr>
        <w:t xml:space="preserve"> as having a disability </w:t>
      </w:r>
      <w:r w:rsidRPr="007C4B78">
        <w:rPr>
          <w:rFonts w:asciiTheme="majorHAnsi" w:hAnsiTheme="majorHAnsi"/>
        </w:rPr>
        <w:t>this project does not seek to</w:t>
      </w:r>
      <w:r w:rsidR="00AA598B" w:rsidRPr="007C4B78">
        <w:rPr>
          <w:rFonts w:asciiTheme="majorHAnsi" w:hAnsiTheme="majorHAnsi"/>
        </w:rPr>
        <w:t xml:space="preserve"> definitively label such children as children with</w:t>
      </w:r>
      <w:r w:rsidR="003B694B" w:rsidRPr="007C4B78">
        <w:rPr>
          <w:rFonts w:asciiTheme="majorHAnsi" w:hAnsiTheme="majorHAnsi"/>
        </w:rPr>
        <w:t xml:space="preserve"> </w:t>
      </w:r>
      <w:r w:rsidR="00BA750C" w:rsidRPr="007C4B78">
        <w:rPr>
          <w:rFonts w:asciiTheme="majorHAnsi" w:hAnsiTheme="majorHAnsi"/>
        </w:rPr>
        <w:t>disabilities. Research</w:t>
      </w:r>
      <w:r w:rsidR="0086350E" w:rsidRPr="007C4B78">
        <w:rPr>
          <w:rFonts w:asciiTheme="majorHAnsi" w:hAnsiTheme="majorHAnsi"/>
        </w:rPr>
        <w:t xml:space="preserve"> cited in </w:t>
      </w:r>
      <w:r w:rsidRPr="007C4B78">
        <w:rPr>
          <w:rFonts w:asciiTheme="majorHAnsi" w:hAnsiTheme="majorHAnsi"/>
        </w:rPr>
        <w:t xml:space="preserve">this </w:t>
      </w:r>
      <w:r w:rsidR="0086350E" w:rsidRPr="007C4B78">
        <w:rPr>
          <w:rFonts w:asciiTheme="majorHAnsi" w:hAnsiTheme="majorHAnsi"/>
        </w:rPr>
        <w:t>report may use a different way of identifying disability and different definitions or approaches to disabili</w:t>
      </w:r>
      <w:r w:rsidRPr="007C4B78">
        <w:rPr>
          <w:rFonts w:asciiTheme="majorHAnsi" w:hAnsiTheme="majorHAnsi"/>
        </w:rPr>
        <w:t>ty</w:t>
      </w:r>
      <w:r w:rsidR="0086350E" w:rsidRPr="007C4B78">
        <w:rPr>
          <w:rFonts w:asciiTheme="majorHAnsi" w:hAnsiTheme="majorHAnsi"/>
        </w:rPr>
        <w:t xml:space="preserve"> in studies</w:t>
      </w:r>
      <w:r w:rsidRPr="007C4B78">
        <w:rPr>
          <w:rFonts w:asciiTheme="majorHAnsi" w:hAnsiTheme="majorHAnsi"/>
        </w:rPr>
        <w:t xml:space="preserve"> cited</w:t>
      </w:r>
      <w:r w:rsidR="0086350E" w:rsidRPr="007C4B78">
        <w:rPr>
          <w:rFonts w:asciiTheme="majorHAnsi" w:hAnsiTheme="majorHAnsi"/>
        </w:rPr>
        <w:t xml:space="preserve"> are noted in the report when used. </w:t>
      </w:r>
    </w:p>
    <w:p w14:paraId="0F0BB7CF" w14:textId="77777777" w:rsidR="00254DC5" w:rsidRPr="007C4B78" w:rsidRDefault="00254DC5" w:rsidP="004D12C3">
      <w:pPr>
        <w:jc w:val="both"/>
        <w:rPr>
          <w:rFonts w:asciiTheme="majorHAnsi" w:hAnsiTheme="majorHAnsi"/>
        </w:rPr>
      </w:pPr>
    </w:p>
    <w:p w14:paraId="4F974342" w14:textId="77777777" w:rsidR="00A545B0" w:rsidRPr="007C4B78" w:rsidRDefault="00293E75" w:rsidP="004D12C3">
      <w:pPr>
        <w:jc w:val="both"/>
        <w:rPr>
          <w:rFonts w:asciiTheme="majorHAnsi" w:eastAsia="Calibri" w:hAnsiTheme="majorHAnsi"/>
        </w:rPr>
      </w:pPr>
      <w:r w:rsidRPr="007C4B78">
        <w:rPr>
          <w:rFonts w:asciiTheme="majorHAnsi" w:eastAsia="Calibri" w:hAnsiTheme="majorHAnsi"/>
        </w:rPr>
        <w:t>The</w:t>
      </w:r>
      <w:r w:rsidR="00342E41" w:rsidRPr="007C4B78">
        <w:rPr>
          <w:rFonts w:asciiTheme="majorHAnsi" w:eastAsia="Calibri" w:hAnsiTheme="majorHAnsi"/>
        </w:rPr>
        <w:t xml:space="preserve"> last comprehensive survey of disability in Ireland</w:t>
      </w:r>
      <w:r w:rsidRPr="007C4B78">
        <w:rPr>
          <w:rFonts w:asciiTheme="majorHAnsi" w:eastAsia="Calibri" w:hAnsiTheme="majorHAnsi"/>
        </w:rPr>
        <w:t>, conducted in 2006, provides an indication of the numbers of children with disabilities in Ireland who may experience barriers to accessing justice such as those identified in this report</w:t>
      </w:r>
      <w:r w:rsidR="00342E41" w:rsidRPr="007C4B78">
        <w:rPr>
          <w:rFonts w:asciiTheme="majorHAnsi" w:eastAsia="Calibri" w:hAnsiTheme="majorHAnsi"/>
        </w:rPr>
        <w:t xml:space="preserve">. </w:t>
      </w:r>
      <w:r w:rsidR="006D4820" w:rsidRPr="007C4B78">
        <w:rPr>
          <w:rFonts w:asciiTheme="majorHAnsi" w:eastAsia="Calibri" w:hAnsiTheme="majorHAnsi"/>
        </w:rPr>
        <w:t xml:space="preserve">The 2006 census found that the population of Ireland was 4,239,848; the </w:t>
      </w:r>
      <w:r w:rsidR="006D4820" w:rsidRPr="007C4B78">
        <w:rPr>
          <w:rFonts w:asciiTheme="majorHAnsi" w:eastAsia="Calibri" w:hAnsiTheme="majorHAnsi"/>
        </w:rPr>
        <w:lastRenderedPageBreak/>
        <w:t>National Disability Survey estimated that</w:t>
      </w:r>
      <w:r w:rsidR="00A545B0" w:rsidRPr="007C4B78">
        <w:rPr>
          <w:rFonts w:asciiTheme="majorHAnsi" w:eastAsia="Calibri" w:hAnsiTheme="majorHAnsi"/>
        </w:rPr>
        <w:t xml:space="preserve"> of these,</w:t>
      </w:r>
      <w:r w:rsidR="006D4820" w:rsidRPr="007C4B78">
        <w:rPr>
          <w:rFonts w:asciiTheme="majorHAnsi" w:eastAsia="Calibri" w:hAnsiTheme="majorHAnsi"/>
        </w:rPr>
        <w:t xml:space="preserve"> there </w:t>
      </w:r>
      <w:r w:rsidRPr="007C4B78">
        <w:rPr>
          <w:rFonts w:asciiTheme="majorHAnsi" w:eastAsia="Calibri" w:hAnsiTheme="majorHAnsi"/>
        </w:rPr>
        <w:t>are approximately</w:t>
      </w:r>
      <w:r w:rsidR="006D4820" w:rsidRPr="007C4B78">
        <w:rPr>
          <w:rFonts w:asciiTheme="majorHAnsi" w:eastAsia="Calibri" w:hAnsiTheme="majorHAnsi"/>
        </w:rPr>
        <w:t xml:space="preserve"> 749,100 </w:t>
      </w:r>
      <w:r w:rsidR="00A545B0" w:rsidRPr="007C4B78">
        <w:rPr>
          <w:rFonts w:asciiTheme="majorHAnsi" w:eastAsia="Calibri" w:hAnsiTheme="majorHAnsi"/>
        </w:rPr>
        <w:t xml:space="preserve">people </w:t>
      </w:r>
      <w:r w:rsidR="006D4820" w:rsidRPr="007C4B78">
        <w:rPr>
          <w:rFonts w:asciiTheme="majorHAnsi" w:eastAsia="Calibri" w:hAnsiTheme="majorHAnsi"/>
        </w:rPr>
        <w:t>with disabilities living in Ireland.  It is estimated that there are 35,900 people aged 0-17 with disabilities, of which 22,900 are boys and 13,000 are girls.  26,900 children age</w:t>
      </w:r>
      <w:r w:rsidRPr="007C4B78">
        <w:rPr>
          <w:rFonts w:asciiTheme="majorHAnsi" w:eastAsia="Calibri" w:hAnsiTheme="majorHAnsi"/>
        </w:rPr>
        <w:t>d</w:t>
      </w:r>
      <w:r w:rsidR="006D4820" w:rsidRPr="007C4B78">
        <w:rPr>
          <w:rFonts w:asciiTheme="majorHAnsi" w:eastAsia="Calibri" w:hAnsiTheme="majorHAnsi"/>
        </w:rPr>
        <w:t xml:space="preserve"> 0-17 are identified as having intellectual and learning disabilities, 9,900 0-17 year olds are identified as having emotional, psychological and mental health disabilities and 17,800 are identified as having</w:t>
      </w:r>
      <w:r w:rsidRPr="007C4B78">
        <w:rPr>
          <w:rFonts w:asciiTheme="majorHAnsi" w:eastAsia="Calibri" w:hAnsiTheme="majorHAnsi"/>
        </w:rPr>
        <w:t xml:space="preserve"> disabilities related to</w:t>
      </w:r>
      <w:r w:rsidR="006D4820" w:rsidRPr="007C4B78">
        <w:rPr>
          <w:rFonts w:asciiTheme="majorHAnsi" w:eastAsia="Calibri" w:hAnsiTheme="majorHAnsi"/>
        </w:rPr>
        <w:t xml:space="preserve"> remembering and concentrating. </w:t>
      </w:r>
      <w:r w:rsidR="006D4820" w:rsidRPr="007C4B78">
        <w:rPr>
          <w:rStyle w:val="FootnoteReference"/>
          <w:rFonts w:asciiTheme="majorHAnsi" w:eastAsia="Calibri" w:hAnsiTheme="majorHAnsi"/>
        </w:rPr>
        <w:footnoteReference w:id="1"/>
      </w:r>
    </w:p>
    <w:p w14:paraId="78FC2A9E" w14:textId="77777777" w:rsidR="00A545B0" w:rsidRPr="007C4B78" w:rsidRDefault="00A545B0" w:rsidP="004D12C3">
      <w:pPr>
        <w:jc w:val="both"/>
        <w:rPr>
          <w:rFonts w:asciiTheme="majorHAnsi" w:eastAsia="Calibri" w:hAnsiTheme="majorHAnsi"/>
        </w:rPr>
      </w:pPr>
    </w:p>
    <w:p w14:paraId="7CFBE1F6" w14:textId="77777777" w:rsidR="006D4820" w:rsidRPr="007C4B78" w:rsidRDefault="00342E41" w:rsidP="004D12C3">
      <w:pPr>
        <w:jc w:val="both"/>
        <w:rPr>
          <w:rFonts w:asciiTheme="majorHAnsi" w:eastAsia="Times New Roman" w:hAnsiTheme="majorHAnsi"/>
        </w:rPr>
      </w:pPr>
      <w:r w:rsidRPr="007C4B78">
        <w:rPr>
          <w:rFonts w:asciiTheme="majorHAnsi" w:eastAsia="Calibri" w:hAnsiTheme="majorHAnsi"/>
        </w:rPr>
        <w:t xml:space="preserve">It is important to note here </w:t>
      </w:r>
      <w:r w:rsidR="00BA750C" w:rsidRPr="007C4B78">
        <w:rPr>
          <w:rFonts w:asciiTheme="majorHAnsi" w:eastAsia="Calibri" w:hAnsiTheme="majorHAnsi"/>
        </w:rPr>
        <w:t>that</w:t>
      </w:r>
      <w:r w:rsidR="00BA750C" w:rsidRPr="007C4B78">
        <w:rPr>
          <w:rFonts w:asciiTheme="majorHAnsi" w:eastAsia="Calibri" w:hAnsiTheme="majorHAnsi"/>
          <w:i/>
        </w:rPr>
        <w:t xml:space="preserve"> Growing</w:t>
      </w:r>
      <w:r w:rsidR="003D732D" w:rsidRPr="007C4B78">
        <w:rPr>
          <w:rFonts w:asciiTheme="majorHAnsi" w:eastAsia="Calibri" w:hAnsiTheme="majorHAnsi"/>
          <w:i/>
        </w:rPr>
        <w:t xml:space="preserve"> Up in Ireland</w:t>
      </w:r>
      <w:r w:rsidR="00A545B0" w:rsidRPr="007C4B78">
        <w:rPr>
          <w:rFonts w:asciiTheme="majorHAnsi" w:eastAsia="Calibri" w:hAnsiTheme="majorHAnsi"/>
        </w:rPr>
        <w:t>,</w:t>
      </w:r>
      <w:r w:rsidR="00293E75" w:rsidRPr="007C4B78">
        <w:rPr>
          <w:rFonts w:asciiTheme="majorHAnsi" w:eastAsia="Calibri" w:hAnsiTheme="majorHAnsi"/>
        </w:rPr>
        <w:t xml:space="preserve"> the national longitudinal study on children,</w:t>
      </w:r>
      <w:r w:rsidR="00A545B0" w:rsidRPr="007C4B78">
        <w:rPr>
          <w:rFonts w:asciiTheme="majorHAnsi" w:eastAsia="Calibri" w:hAnsiTheme="majorHAnsi"/>
        </w:rPr>
        <w:t xml:space="preserve"> does </w:t>
      </w:r>
      <w:r w:rsidR="00BA750C" w:rsidRPr="007C4B78">
        <w:rPr>
          <w:rFonts w:asciiTheme="majorHAnsi" w:eastAsia="Calibri" w:hAnsiTheme="majorHAnsi"/>
        </w:rPr>
        <w:t>include questions</w:t>
      </w:r>
      <w:r w:rsidR="00A545B0" w:rsidRPr="007C4B78">
        <w:rPr>
          <w:rFonts w:asciiTheme="majorHAnsi" w:eastAsia="Calibri" w:hAnsiTheme="majorHAnsi"/>
        </w:rPr>
        <w:t xml:space="preserve"> about </w:t>
      </w:r>
      <w:r w:rsidRPr="007C4B78">
        <w:rPr>
          <w:rFonts w:asciiTheme="majorHAnsi" w:eastAsia="Calibri" w:hAnsiTheme="majorHAnsi"/>
        </w:rPr>
        <w:t>children with disabilities</w:t>
      </w:r>
      <w:r w:rsidR="00A545B0" w:rsidRPr="007C4B78">
        <w:rPr>
          <w:rFonts w:asciiTheme="majorHAnsi" w:eastAsia="Calibri" w:hAnsiTheme="majorHAnsi"/>
        </w:rPr>
        <w:t xml:space="preserve">; but </w:t>
      </w:r>
      <w:r w:rsidRPr="007C4B78">
        <w:rPr>
          <w:rFonts w:asciiTheme="majorHAnsi" w:eastAsia="Calibri" w:hAnsiTheme="majorHAnsi"/>
        </w:rPr>
        <w:t xml:space="preserve">has often </w:t>
      </w:r>
      <w:r w:rsidR="00A90184" w:rsidRPr="007C4B78">
        <w:rPr>
          <w:rFonts w:asciiTheme="majorHAnsi" w:eastAsia="Calibri" w:hAnsiTheme="majorHAnsi"/>
        </w:rPr>
        <w:t>focused</w:t>
      </w:r>
      <w:r w:rsidR="00A545B0" w:rsidRPr="007C4B78">
        <w:rPr>
          <w:rFonts w:asciiTheme="majorHAnsi" w:eastAsia="Calibri" w:hAnsiTheme="majorHAnsi"/>
        </w:rPr>
        <w:t xml:space="preserve"> on the negative impact of individual impairment rather than the societal and structural barriers facing children with disabilities. For example, the study includes questions to mothers concerning </w:t>
      </w:r>
      <w:r w:rsidR="00A545B0" w:rsidRPr="007C4B78">
        <w:rPr>
          <w:rFonts w:asciiTheme="majorHAnsi" w:eastAsia="Times New Roman" w:hAnsiTheme="majorHAnsi"/>
        </w:rPr>
        <w:t>“</w:t>
      </w:r>
      <w:r w:rsidR="007B1444" w:rsidRPr="007C4B78">
        <w:rPr>
          <w:rFonts w:asciiTheme="majorHAnsi" w:eastAsia="Times New Roman" w:hAnsiTheme="majorHAnsi"/>
        </w:rPr>
        <w:t xml:space="preserve">the extent to which the </w:t>
      </w:r>
      <w:r w:rsidR="00A545B0" w:rsidRPr="007C4B78">
        <w:rPr>
          <w:rFonts w:asciiTheme="majorHAnsi" w:eastAsia="Times New Roman" w:hAnsiTheme="majorHAnsi"/>
        </w:rPr>
        <w:t>s</w:t>
      </w:r>
      <w:r w:rsidR="007B1444" w:rsidRPr="007C4B78">
        <w:rPr>
          <w:rFonts w:asciiTheme="majorHAnsi" w:eastAsia="Times New Roman" w:hAnsiTheme="majorHAnsi"/>
        </w:rPr>
        <w:t xml:space="preserve">tudy </w:t>
      </w:r>
      <w:r w:rsidR="00A545B0" w:rsidRPr="007C4B78">
        <w:rPr>
          <w:rFonts w:asciiTheme="majorHAnsi" w:eastAsia="Times New Roman" w:hAnsiTheme="majorHAnsi"/>
        </w:rPr>
        <w:t>c</w:t>
      </w:r>
      <w:r w:rsidR="007B1444" w:rsidRPr="007C4B78">
        <w:rPr>
          <w:rFonts w:asciiTheme="majorHAnsi" w:eastAsia="Times New Roman" w:hAnsiTheme="majorHAnsi"/>
        </w:rPr>
        <w:t>hild’s illness or disability hampered them in their daily lives</w:t>
      </w:r>
      <w:r w:rsidR="00FB213D" w:rsidRPr="007C4B78">
        <w:rPr>
          <w:rFonts w:asciiTheme="majorHAnsi" w:eastAsia="Times New Roman" w:hAnsiTheme="majorHAnsi"/>
        </w:rPr>
        <w:t>.</w:t>
      </w:r>
      <w:r w:rsidR="007B1444" w:rsidRPr="007C4B78">
        <w:rPr>
          <w:rFonts w:asciiTheme="majorHAnsi" w:eastAsia="Times New Roman" w:hAnsiTheme="majorHAnsi"/>
        </w:rPr>
        <w:t>”</w:t>
      </w:r>
      <w:r w:rsidR="007B1444" w:rsidRPr="007C4B78">
        <w:rPr>
          <w:rStyle w:val="FootnoteReference"/>
          <w:rFonts w:asciiTheme="majorHAnsi" w:eastAsia="Times New Roman" w:hAnsiTheme="majorHAnsi"/>
        </w:rPr>
        <w:footnoteReference w:id="2"/>
      </w:r>
      <w:r w:rsidR="007B1444" w:rsidRPr="007C4B78">
        <w:rPr>
          <w:rFonts w:asciiTheme="majorHAnsi" w:eastAsia="Times New Roman" w:hAnsiTheme="majorHAnsi"/>
        </w:rPr>
        <w:t xml:space="preserve"> Such framing stands in opposition to the spirit of the Convention on the Rights of Persons with Disabilities as well as current understandings of disability through the social </w:t>
      </w:r>
      <w:r w:rsidR="00293E75" w:rsidRPr="007C4B78">
        <w:rPr>
          <w:rFonts w:asciiTheme="majorHAnsi" w:eastAsia="Times New Roman" w:hAnsiTheme="majorHAnsi"/>
        </w:rPr>
        <w:t xml:space="preserve">and human rights </w:t>
      </w:r>
      <w:r w:rsidR="007B1444" w:rsidRPr="007C4B78">
        <w:rPr>
          <w:rFonts w:asciiTheme="majorHAnsi" w:eastAsia="Times New Roman" w:hAnsiTheme="majorHAnsi"/>
        </w:rPr>
        <w:t>model</w:t>
      </w:r>
      <w:r w:rsidR="00293E75" w:rsidRPr="007C4B78">
        <w:rPr>
          <w:rFonts w:asciiTheme="majorHAnsi" w:eastAsia="Times New Roman" w:hAnsiTheme="majorHAnsi"/>
        </w:rPr>
        <w:t>s</w:t>
      </w:r>
      <w:r w:rsidR="007B1444" w:rsidRPr="007C4B78">
        <w:rPr>
          <w:rFonts w:asciiTheme="majorHAnsi" w:eastAsia="Times New Roman" w:hAnsiTheme="majorHAnsi"/>
        </w:rPr>
        <w:t>.</w:t>
      </w:r>
    </w:p>
    <w:p w14:paraId="6618903A" w14:textId="77777777" w:rsidR="001068CE" w:rsidRPr="007C4B78" w:rsidRDefault="001068CE" w:rsidP="004D12C3">
      <w:pPr>
        <w:jc w:val="both"/>
        <w:rPr>
          <w:rFonts w:asciiTheme="majorHAnsi" w:eastAsia="Times New Roman" w:hAnsiTheme="majorHAnsi"/>
        </w:rPr>
      </w:pPr>
    </w:p>
    <w:p w14:paraId="5761F6A2" w14:textId="77777777" w:rsidR="001068CE" w:rsidRPr="007C4B78" w:rsidRDefault="001068CE" w:rsidP="004D12C3">
      <w:pPr>
        <w:pStyle w:val="Heading3"/>
        <w:jc w:val="both"/>
      </w:pPr>
      <w:bookmarkStart w:id="7" w:name="_Toc417303134"/>
      <w:r w:rsidRPr="007C4B78">
        <w:t>Methodology</w:t>
      </w:r>
      <w:bookmarkEnd w:id="7"/>
    </w:p>
    <w:p w14:paraId="643F7E77" w14:textId="77777777" w:rsidR="006A5BF2" w:rsidRPr="007C4B78" w:rsidRDefault="006A5BF2" w:rsidP="004D12C3">
      <w:pPr>
        <w:jc w:val="both"/>
      </w:pPr>
      <w:r w:rsidRPr="007C4B78">
        <w:t>The first phase of this research project and a large part of the report relies on extensive desk based research in the three main areas of the report and project.  The second phase of the project involved interviews with legal professionals such as solicitors, barristers and judges</w:t>
      </w:r>
      <w:r w:rsidR="00293E75" w:rsidRPr="007C4B78">
        <w:t>;</w:t>
      </w:r>
      <w:r w:rsidRPr="007C4B78">
        <w:t xml:space="preserve"> parents of children with cognitive disabilities</w:t>
      </w:r>
      <w:r w:rsidR="00293E75" w:rsidRPr="007C4B78">
        <w:t>;</w:t>
      </w:r>
      <w:r w:rsidRPr="007C4B78">
        <w:t xml:space="preserve"> experts in relevant fields, </w:t>
      </w:r>
      <w:r w:rsidR="00293E75" w:rsidRPr="007C4B78">
        <w:t xml:space="preserve">representatives </w:t>
      </w:r>
      <w:r w:rsidRPr="007C4B78">
        <w:t xml:space="preserve">of NGOs and social workers. </w:t>
      </w:r>
      <w:r w:rsidR="00276C78" w:rsidRPr="007C4B78">
        <w:rPr>
          <w:lang w:val="en-US"/>
        </w:rPr>
        <w:t xml:space="preserve">We interviewed 15 people, including five parents of children with cognitive disabilities. </w:t>
      </w:r>
      <w:r w:rsidRPr="007C4B78">
        <w:t xml:space="preserve">We </w:t>
      </w:r>
      <w:r w:rsidR="00293E75" w:rsidRPr="007C4B78">
        <w:t xml:space="preserve">exclusively </w:t>
      </w:r>
      <w:r w:rsidR="00A90184" w:rsidRPr="007C4B78">
        <w:t>used one-on-</w:t>
      </w:r>
      <w:r w:rsidRPr="007C4B78">
        <w:t>one semi structured interviews that were mainly conducted over the phone. Initially we</w:t>
      </w:r>
      <w:r w:rsidR="00293E75" w:rsidRPr="007C4B78">
        <w:t xml:space="preserve"> sought</w:t>
      </w:r>
      <w:r w:rsidRPr="007C4B78">
        <w:t xml:space="preserve"> to have focus groups with parents of children with disabilities who had problems accessing justice in the education system but </w:t>
      </w:r>
      <w:r w:rsidR="00293E75" w:rsidRPr="007C4B78">
        <w:t>this was ultimately not possible due to the diverse geographical locations of the respondents, and the difficulties parents faced in finding childcare to facilitate attending a focus group</w:t>
      </w:r>
      <w:r w:rsidRPr="007C4B78">
        <w:t>.</w:t>
      </w:r>
    </w:p>
    <w:p w14:paraId="72E37E5C" w14:textId="77777777" w:rsidR="006A5BF2" w:rsidRPr="007C4B78" w:rsidRDefault="006A5BF2" w:rsidP="004D12C3">
      <w:pPr>
        <w:jc w:val="both"/>
      </w:pPr>
    </w:p>
    <w:p w14:paraId="1C73752D" w14:textId="77777777" w:rsidR="00F43151" w:rsidRPr="007C4B78" w:rsidRDefault="00293E75" w:rsidP="004D12C3">
      <w:pPr>
        <w:jc w:val="both"/>
      </w:pPr>
      <w:r w:rsidRPr="007C4B78">
        <w:t>We also sought to interview young people and adults with cognitive disabilities about their experiences in the justice system regarding decisions made about them as children, with a focus on education, criminal justice and decisions about where to live. While we received approval from the NUI Galway Research Ethics Committee</w:t>
      </w:r>
      <w:r w:rsidR="00FB213D" w:rsidRPr="007C4B78">
        <w:t xml:space="preserve"> for this work</w:t>
      </w:r>
      <w:r w:rsidRPr="007C4B78">
        <w:t>, we were not subsequently granted access to Oberstown</w:t>
      </w:r>
      <w:r w:rsidR="004920B6" w:rsidRPr="007C4B78">
        <w:t xml:space="preserve"> Children Detention Schools</w:t>
      </w:r>
      <w:r w:rsidRPr="007C4B78">
        <w:t xml:space="preserve"> to interview young </w:t>
      </w:r>
      <w:r w:rsidR="00A97927" w:rsidRPr="007C4B78">
        <w:t>people in detention</w:t>
      </w:r>
      <w:r w:rsidRPr="007C4B78">
        <w:t>, and were unable to find other interview participants who met our inclusion criteria within the timeframe of the project.</w:t>
      </w:r>
    </w:p>
    <w:p w14:paraId="14630C9A" w14:textId="77777777" w:rsidR="00F43151" w:rsidRPr="007C4B78" w:rsidRDefault="00F43151" w:rsidP="004D12C3">
      <w:pPr>
        <w:jc w:val="both"/>
      </w:pPr>
      <w:r w:rsidRPr="007C4B78">
        <w:br w:type="page"/>
      </w:r>
    </w:p>
    <w:p w14:paraId="36E72DD6" w14:textId="77777777" w:rsidR="00D73861" w:rsidRPr="007C4B78" w:rsidRDefault="00D73861" w:rsidP="004D12C3">
      <w:pPr>
        <w:jc w:val="both"/>
        <w:rPr>
          <w:rFonts w:asciiTheme="majorHAnsi" w:hAnsiTheme="majorHAnsi"/>
        </w:rPr>
      </w:pPr>
      <w:bookmarkStart w:id="8" w:name="_Toc417303135"/>
      <w:r w:rsidRPr="007C4B78">
        <w:rPr>
          <w:rStyle w:val="Heading1Char"/>
        </w:rPr>
        <w:lastRenderedPageBreak/>
        <w:t>Executive Summar</w:t>
      </w:r>
      <w:r w:rsidR="00B72D34" w:rsidRPr="007C4B78">
        <w:rPr>
          <w:rStyle w:val="Heading1Char"/>
        </w:rPr>
        <w:t>y and Key Findings</w:t>
      </w:r>
      <w:bookmarkEnd w:id="8"/>
    </w:p>
    <w:p w14:paraId="5DD645EE" w14:textId="77777777" w:rsidR="00293E75" w:rsidRPr="007C4B78" w:rsidRDefault="006B7DFC" w:rsidP="004D12C3">
      <w:pPr>
        <w:jc w:val="both"/>
        <w:rPr>
          <w:rFonts w:asciiTheme="majorHAnsi" w:hAnsiTheme="majorHAnsi"/>
        </w:rPr>
      </w:pPr>
      <w:r w:rsidRPr="007C4B78">
        <w:rPr>
          <w:rFonts w:asciiTheme="majorHAnsi" w:hAnsiTheme="majorHAnsi"/>
        </w:rPr>
        <w:t xml:space="preserve">The focus of this report and project was </w:t>
      </w:r>
      <w:r w:rsidR="00293E75" w:rsidRPr="007C4B78">
        <w:rPr>
          <w:rFonts w:asciiTheme="majorHAnsi" w:hAnsiTheme="majorHAnsi"/>
        </w:rPr>
        <w:t>to uncover barriers in Irish</w:t>
      </w:r>
      <w:r w:rsidRPr="007C4B78">
        <w:rPr>
          <w:rFonts w:asciiTheme="majorHAnsi" w:hAnsiTheme="majorHAnsi"/>
        </w:rPr>
        <w:t xml:space="preserve"> law and </w:t>
      </w:r>
      <w:r w:rsidR="00BA750C" w:rsidRPr="007C4B78">
        <w:rPr>
          <w:rFonts w:asciiTheme="majorHAnsi" w:hAnsiTheme="majorHAnsi"/>
        </w:rPr>
        <w:t>policy affecting</w:t>
      </w:r>
      <w:r w:rsidRPr="007C4B78">
        <w:rPr>
          <w:rFonts w:asciiTheme="majorHAnsi" w:hAnsiTheme="majorHAnsi"/>
        </w:rPr>
        <w:t xml:space="preserve"> children with cognitive disabilities</w:t>
      </w:r>
      <w:r w:rsidR="00293E75" w:rsidRPr="007C4B78">
        <w:rPr>
          <w:rFonts w:asciiTheme="majorHAnsi" w:hAnsiTheme="majorHAnsi"/>
        </w:rPr>
        <w:t>’</w:t>
      </w:r>
      <w:r w:rsidRPr="007C4B78">
        <w:rPr>
          <w:rFonts w:asciiTheme="majorHAnsi" w:hAnsiTheme="majorHAnsi"/>
        </w:rPr>
        <w:t xml:space="preserve"> access</w:t>
      </w:r>
      <w:r w:rsidR="00E56C77" w:rsidRPr="007C4B78">
        <w:rPr>
          <w:rFonts w:asciiTheme="majorHAnsi" w:hAnsiTheme="majorHAnsi"/>
        </w:rPr>
        <w:t xml:space="preserve"> to</w:t>
      </w:r>
      <w:r w:rsidRPr="007C4B78">
        <w:rPr>
          <w:rFonts w:asciiTheme="majorHAnsi" w:hAnsiTheme="majorHAnsi"/>
        </w:rPr>
        <w:t xml:space="preserve"> justice in three main areas of their lives</w:t>
      </w:r>
      <w:r w:rsidR="00293E75" w:rsidRPr="007C4B78">
        <w:rPr>
          <w:rFonts w:asciiTheme="majorHAnsi" w:hAnsiTheme="majorHAnsi"/>
        </w:rPr>
        <w:t>:</w:t>
      </w:r>
    </w:p>
    <w:p w14:paraId="0045977A" w14:textId="77777777" w:rsidR="004920B6" w:rsidRPr="007C4B78" w:rsidRDefault="004920B6" w:rsidP="004D12C3">
      <w:pPr>
        <w:jc w:val="both"/>
        <w:rPr>
          <w:rFonts w:asciiTheme="majorHAnsi" w:hAnsiTheme="majorHAnsi"/>
        </w:rPr>
      </w:pPr>
    </w:p>
    <w:p w14:paraId="08D0D8E6" w14:textId="77777777" w:rsidR="00293E75" w:rsidRPr="007C4B78" w:rsidRDefault="006B7DFC" w:rsidP="004D12C3">
      <w:pPr>
        <w:jc w:val="both"/>
        <w:rPr>
          <w:rFonts w:asciiTheme="majorHAnsi" w:hAnsiTheme="majorHAnsi"/>
        </w:rPr>
      </w:pPr>
      <w:r w:rsidRPr="007C4B78">
        <w:rPr>
          <w:rFonts w:asciiTheme="majorHAnsi" w:hAnsiTheme="majorHAnsi"/>
        </w:rPr>
        <w:t xml:space="preserve">1. </w:t>
      </w:r>
      <w:r w:rsidR="00293E75" w:rsidRPr="007C4B78">
        <w:rPr>
          <w:rFonts w:asciiTheme="majorHAnsi" w:hAnsiTheme="majorHAnsi"/>
        </w:rPr>
        <w:t xml:space="preserve">How </w:t>
      </w:r>
      <w:r w:rsidR="004920B6" w:rsidRPr="007C4B78">
        <w:rPr>
          <w:rFonts w:asciiTheme="majorHAnsi" w:hAnsiTheme="majorHAnsi"/>
        </w:rPr>
        <w:t xml:space="preserve">and where </w:t>
      </w:r>
      <w:r w:rsidR="00293E75" w:rsidRPr="007C4B78">
        <w:rPr>
          <w:rFonts w:asciiTheme="majorHAnsi" w:hAnsiTheme="majorHAnsi"/>
        </w:rPr>
        <w:t>the child should be educated</w:t>
      </w:r>
    </w:p>
    <w:p w14:paraId="4F1D9E29" w14:textId="77777777" w:rsidR="00293E75" w:rsidRPr="007C4B78" w:rsidRDefault="006B7DFC" w:rsidP="004D12C3">
      <w:pPr>
        <w:jc w:val="both"/>
        <w:rPr>
          <w:rFonts w:asciiTheme="majorHAnsi" w:hAnsiTheme="majorHAnsi"/>
        </w:rPr>
      </w:pPr>
      <w:r w:rsidRPr="007C4B78">
        <w:rPr>
          <w:rFonts w:asciiTheme="majorHAnsi" w:hAnsiTheme="majorHAnsi"/>
        </w:rPr>
        <w:t xml:space="preserve">2. </w:t>
      </w:r>
      <w:r w:rsidR="00293E75" w:rsidRPr="007C4B78">
        <w:rPr>
          <w:rFonts w:asciiTheme="majorHAnsi" w:hAnsiTheme="majorHAnsi"/>
        </w:rPr>
        <w:t xml:space="preserve">Where the child should live </w:t>
      </w:r>
      <w:r w:rsidRPr="007C4B78">
        <w:rPr>
          <w:rFonts w:asciiTheme="majorHAnsi" w:hAnsiTheme="majorHAnsi"/>
        </w:rPr>
        <w:t xml:space="preserve">(care, custody, guardianship and </w:t>
      </w:r>
      <w:r w:rsidR="00293E75" w:rsidRPr="007C4B78">
        <w:rPr>
          <w:rFonts w:asciiTheme="majorHAnsi" w:hAnsiTheme="majorHAnsi"/>
        </w:rPr>
        <w:t>involuntary detention for mental health treatment</w:t>
      </w:r>
      <w:r w:rsidRPr="007C4B78">
        <w:rPr>
          <w:rFonts w:asciiTheme="majorHAnsi" w:hAnsiTheme="majorHAnsi"/>
        </w:rPr>
        <w:t xml:space="preserve">) and </w:t>
      </w:r>
    </w:p>
    <w:p w14:paraId="3E49725D" w14:textId="77777777" w:rsidR="00164A6A" w:rsidRPr="007C4B78" w:rsidRDefault="006B7DFC" w:rsidP="004D12C3">
      <w:pPr>
        <w:jc w:val="both"/>
        <w:rPr>
          <w:rFonts w:asciiTheme="majorHAnsi" w:hAnsiTheme="majorHAnsi"/>
        </w:rPr>
      </w:pPr>
      <w:r w:rsidRPr="007C4B78">
        <w:rPr>
          <w:rFonts w:asciiTheme="majorHAnsi" w:hAnsiTheme="majorHAnsi"/>
        </w:rPr>
        <w:t xml:space="preserve">3. </w:t>
      </w:r>
      <w:r w:rsidR="00293E75" w:rsidRPr="007C4B78">
        <w:rPr>
          <w:rFonts w:asciiTheme="majorHAnsi" w:hAnsiTheme="majorHAnsi"/>
        </w:rPr>
        <w:t>Juvenile justice proceedings</w:t>
      </w:r>
      <w:r w:rsidRPr="007C4B78">
        <w:rPr>
          <w:rFonts w:asciiTheme="majorHAnsi" w:hAnsiTheme="majorHAnsi"/>
        </w:rPr>
        <w:t xml:space="preserve"> (victim and offender). </w:t>
      </w:r>
    </w:p>
    <w:p w14:paraId="22B51E6C" w14:textId="77777777" w:rsidR="00164A6A" w:rsidRPr="007C4B78" w:rsidRDefault="00164A6A" w:rsidP="004D12C3">
      <w:pPr>
        <w:jc w:val="both"/>
        <w:rPr>
          <w:rFonts w:asciiTheme="majorHAnsi" w:hAnsiTheme="majorHAnsi"/>
        </w:rPr>
      </w:pPr>
    </w:p>
    <w:p w14:paraId="195CD766" w14:textId="77777777" w:rsidR="00220E8D" w:rsidRPr="007C4B78" w:rsidRDefault="00AC453C" w:rsidP="004D12C3">
      <w:pPr>
        <w:jc w:val="both"/>
        <w:rPr>
          <w:rFonts w:asciiTheme="majorHAnsi" w:hAnsiTheme="majorHAnsi"/>
        </w:rPr>
      </w:pPr>
      <w:r w:rsidRPr="007C4B78">
        <w:rPr>
          <w:rFonts w:asciiTheme="majorHAnsi" w:hAnsiTheme="majorHAnsi"/>
        </w:rPr>
        <w:t xml:space="preserve">The report is structured in five main parts. The first part sets out the general law and policy context in Ireland and the key Constitutional, legislative and policy provisions– as well as Ireland’s international human rights obligations concerning children with disabilities. Parts two to four examine the three key focus areas </w:t>
      </w:r>
      <w:r w:rsidR="00A97927" w:rsidRPr="007C4B78">
        <w:rPr>
          <w:rFonts w:asciiTheme="majorHAnsi" w:hAnsiTheme="majorHAnsi"/>
        </w:rPr>
        <w:t>of education, where to live, and juvenile justice</w:t>
      </w:r>
      <w:r w:rsidRPr="007C4B78">
        <w:rPr>
          <w:rFonts w:asciiTheme="majorHAnsi" w:hAnsiTheme="majorHAnsi"/>
        </w:rPr>
        <w:t xml:space="preserve"> and </w:t>
      </w:r>
      <w:r w:rsidR="00B72100" w:rsidRPr="007C4B78">
        <w:rPr>
          <w:rFonts w:asciiTheme="majorHAnsi" w:hAnsiTheme="majorHAnsi"/>
        </w:rPr>
        <w:t>explore the barriers children with cognitive disabilities face in accessing justice in these areas</w:t>
      </w:r>
      <w:r w:rsidRPr="007C4B78">
        <w:rPr>
          <w:rFonts w:asciiTheme="majorHAnsi" w:hAnsiTheme="majorHAnsi"/>
        </w:rPr>
        <w:t xml:space="preserve">. Part five of the report sets out our conclusions and recommendations for reform. </w:t>
      </w:r>
    </w:p>
    <w:p w14:paraId="19C02672" w14:textId="77777777" w:rsidR="00220E8D" w:rsidRPr="007C4B78" w:rsidRDefault="00220E8D" w:rsidP="004D12C3">
      <w:pPr>
        <w:jc w:val="both"/>
        <w:rPr>
          <w:rFonts w:asciiTheme="majorHAnsi" w:hAnsiTheme="majorHAnsi"/>
        </w:rPr>
      </w:pPr>
    </w:p>
    <w:p w14:paraId="7B8F9457" w14:textId="77777777" w:rsidR="00AC453C" w:rsidRPr="007C4B78" w:rsidRDefault="00AC453C" w:rsidP="004D12C3">
      <w:pPr>
        <w:jc w:val="both"/>
        <w:rPr>
          <w:rFonts w:asciiTheme="majorHAnsi" w:hAnsiTheme="majorHAnsi"/>
        </w:rPr>
      </w:pPr>
      <w:r w:rsidRPr="007C4B78">
        <w:rPr>
          <w:rFonts w:asciiTheme="majorHAnsi" w:hAnsiTheme="majorHAnsi"/>
        </w:rPr>
        <w:t xml:space="preserve">Our key findings from the report on access to justice for children with cognitive disabilities in Ireland </w:t>
      </w:r>
      <w:r w:rsidR="00220E8D" w:rsidRPr="007C4B78">
        <w:rPr>
          <w:rFonts w:asciiTheme="majorHAnsi" w:hAnsiTheme="majorHAnsi"/>
        </w:rPr>
        <w:t>can be summarised</w:t>
      </w:r>
      <w:r w:rsidRPr="007C4B78">
        <w:rPr>
          <w:rFonts w:asciiTheme="majorHAnsi" w:hAnsiTheme="majorHAnsi"/>
        </w:rPr>
        <w:t xml:space="preserve"> as follows:</w:t>
      </w:r>
    </w:p>
    <w:p w14:paraId="4E3ABEE6" w14:textId="77777777" w:rsidR="00AC453C" w:rsidRPr="007C4B78" w:rsidRDefault="00AC453C" w:rsidP="004D12C3">
      <w:pPr>
        <w:jc w:val="both"/>
        <w:rPr>
          <w:rFonts w:asciiTheme="majorHAnsi" w:hAnsiTheme="majorHAnsi"/>
        </w:rPr>
      </w:pPr>
    </w:p>
    <w:p w14:paraId="3EBA499B" w14:textId="77777777" w:rsidR="00164A6A" w:rsidRPr="007C4B78" w:rsidRDefault="00164A6A" w:rsidP="004D12C3">
      <w:pPr>
        <w:jc w:val="both"/>
        <w:rPr>
          <w:rFonts w:asciiTheme="majorHAnsi" w:hAnsiTheme="majorHAnsi"/>
          <w:i/>
        </w:rPr>
      </w:pPr>
      <w:r w:rsidRPr="007C4B78">
        <w:rPr>
          <w:rFonts w:asciiTheme="majorHAnsi" w:hAnsiTheme="majorHAnsi"/>
          <w:i/>
        </w:rPr>
        <w:t>Data Collection</w:t>
      </w:r>
    </w:p>
    <w:p w14:paraId="0BA6A72A" w14:textId="77777777" w:rsidR="006B7DFC" w:rsidRPr="007C4B78" w:rsidRDefault="006B7DFC" w:rsidP="004D12C3">
      <w:pPr>
        <w:jc w:val="both"/>
        <w:rPr>
          <w:rFonts w:asciiTheme="majorHAnsi" w:hAnsiTheme="majorHAnsi"/>
        </w:rPr>
      </w:pPr>
      <w:r w:rsidRPr="007C4B78">
        <w:rPr>
          <w:rFonts w:asciiTheme="majorHAnsi" w:hAnsiTheme="majorHAnsi"/>
        </w:rPr>
        <w:t>The greatest obstacle in determining how children with cognitive disabilities access justice is that in many areas related to access to Justice Ireland does not</w:t>
      </w:r>
      <w:r w:rsidR="00E56C77" w:rsidRPr="007C4B78">
        <w:rPr>
          <w:rFonts w:asciiTheme="majorHAnsi" w:hAnsiTheme="majorHAnsi"/>
        </w:rPr>
        <w:t xml:space="preserve"> collect</w:t>
      </w:r>
      <w:r w:rsidRPr="007C4B78">
        <w:rPr>
          <w:rFonts w:asciiTheme="majorHAnsi" w:hAnsiTheme="majorHAnsi"/>
        </w:rPr>
        <w:t xml:space="preserve"> </w:t>
      </w:r>
      <w:r w:rsidR="00BA750C" w:rsidRPr="007C4B78">
        <w:rPr>
          <w:rFonts w:asciiTheme="majorHAnsi" w:hAnsiTheme="majorHAnsi"/>
        </w:rPr>
        <w:t>data. For</w:t>
      </w:r>
      <w:r w:rsidR="00164A6A" w:rsidRPr="007C4B78">
        <w:rPr>
          <w:rFonts w:asciiTheme="majorHAnsi" w:hAnsiTheme="majorHAnsi"/>
        </w:rPr>
        <w:t xml:space="preserve"> example</w:t>
      </w:r>
      <w:r w:rsidR="00E56C77" w:rsidRPr="007C4B78">
        <w:rPr>
          <w:rFonts w:asciiTheme="majorHAnsi" w:hAnsiTheme="majorHAnsi"/>
        </w:rPr>
        <w:t xml:space="preserve">, decisions of courts in </w:t>
      </w:r>
      <w:proofErr w:type="gramStart"/>
      <w:r w:rsidR="00E56C77" w:rsidRPr="007C4B78">
        <w:rPr>
          <w:rFonts w:asciiTheme="majorHAnsi" w:hAnsiTheme="majorHAnsi"/>
        </w:rPr>
        <w:t>child</w:t>
      </w:r>
      <w:r w:rsidR="00164A6A" w:rsidRPr="007C4B78">
        <w:rPr>
          <w:rFonts w:asciiTheme="majorHAnsi" w:hAnsiTheme="majorHAnsi"/>
        </w:rPr>
        <w:t xml:space="preserve"> care</w:t>
      </w:r>
      <w:proofErr w:type="gramEnd"/>
      <w:r w:rsidR="00164A6A" w:rsidRPr="007C4B78">
        <w:rPr>
          <w:rFonts w:asciiTheme="majorHAnsi" w:hAnsiTheme="majorHAnsi"/>
        </w:rPr>
        <w:t xml:space="preserve"> proceedings are just beginning to be reported and the Central Statistics Office keeps no crime statistics on victims under the age of 18. Procedures involving a child accessing education are often administrative </w:t>
      </w:r>
      <w:r w:rsidR="00E56C77" w:rsidRPr="007C4B78">
        <w:rPr>
          <w:rFonts w:asciiTheme="majorHAnsi" w:hAnsiTheme="majorHAnsi"/>
        </w:rPr>
        <w:t>in nature</w:t>
      </w:r>
      <w:r w:rsidR="00164A6A" w:rsidRPr="007C4B78">
        <w:rPr>
          <w:rFonts w:asciiTheme="majorHAnsi" w:hAnsiTheme="majorHAnsi"/>
        </w:rPr>
        <w:t xml:space="preserve"> thus not recorded or publici</w:t>
      </w:r>
      <w:r w:rsidR="00E56C77" w:rsidRPr="007C4B78">
        <w:rPr>
          <w:rFonts w:asciiTheme="majorHAnsi" w:hAnsiTheme="majorHAnsi"/>
        </w:rPr>
        <w:t>s</w:t>
      </w:r>
      <w:r w:rsidR="00164A6A" w:rsidRPr="007C4B78">
        <w:rPr>
          <w:rFonts w:asciiTheme="majorHAnsi" w:hAnsiTheme="majorHAnsi"/>
        </w:rPr>
        <w:t xml:space="preserve">ed. The compounding problem is that where data on children is collected it is not disaggregated so often </w:t>
      </w:r>
      <w:r w:rsidR="00E56C77" w:rsidRPr="007C4B78">
        <w:rPr>
          <w:rFonts w:asciiTheme="majorHAnsi" w:hAnsiTheme="majorHAnsi"/>
        </w:rPr>
        <w:t>it is not known whether</w:t>
      </w:r>
      <w:r w:rsidR="00164A6A" w:rsidRPr="007C4B78">
        <w:rPr>
          <w:rFonts w:asciiTheme="majorHAnsi" w:hAnsiTheme="majorHAnsi"/>
        </w:rPr>
        <w:t xml:space="preserve"> the child has a disability (</w:t>
      </w:r>
      <w:r w:rsidR="00E56C77" w:rsidRPr="007C4B78">
        <w:rPr>
          <w:rFonts w:asciiTheme="majorHAnsi" w:hAnsiTheme="majorHAnsi"/>
        </w:rPr>
        <w:t>e.g.</w:t>
      </w:r>
      <w:r w:rsidR="00164A6A" w:rsidRPr="007C4B78">
        <w:rPr>
          <w:rFonts w:asciiTheme="majorHAnsi" w:hAnsiTheme="majorHAnsi"/>
        </w:rPr>
        <w:t xml:space="preserve"> for children in detention and alleged offenders). </w:t>
      </w:r>
    </w:p>
    <w:p w14:paraId="1367A04C" w14:textId="77777777" w:rsidR="00164A6A" w:rsidRPr="007C4B78" w:rsidRDefault="00164A6A" w:rsidP="004D12C3">
      <w:pPr>
        <w:jc w:val="both"/>
        <w:rPr>
          <w:rFonts w:asciiTheme="majorHAnsi" w:hAnsiTheme="majorHAnsi"/>
        </w:rPr>
      </w:pPr>
    </w:p>
    <w:p w14:paraId="097D3344" w14:textId="77777777" w:rsidR="00164A6A" w:rsidRPr="007C4B78" w:rsidRDefault="00164A6A" w:rsidP="004D12C3">
      <w:pPr>
        <w:jc w:val="both"/>
        <w:rPr>
          <w:rFonts w:asciiTheme="majorHAnsi" w:hAnsiTheme="majorHAnsi"/>
          <w:i/>
        </w:rPr>
      </w:pPr>
      <w:r w:rsidRPr="007C4B78">
        <w:rPr>
          <w:rFonts w:asciiTheme="majorHAnsi" w:hAnsiTheme="majorHAnsi"/>
          <w:i/>
        </w:rPr>
        <w:t>Voice of the Child</w:t>
      </w:r>
    </w:p>
    <w:p w14:paraId="23247F43" w14:textId="77777777" w:rsidR="00164A6A" w:rsidRPr="007C4B78" w:rsidRDefault="00630761" w:rsidP="004D12C3">
      <w:pPr>
        <w:jc w:val="both"/>
        <w:rPr>
          <w:rFonts w:asciiTheme="majorHAnsi" w:hAnsiTheme="majorHAnsi"/>
        </w:rPr>
      </w:pPr>
      <w:r w:rsidRPr="007C4B78">
        <w:rPr>
          <w:rFonts w:asciiTheme="majorHAnsi" w:hAnsiTheme="majorHAnsi"/>
        </w:rPr>
        <w:t xml:space="preserve">One major barrier related to the voice of the child in Ireland is that children require a next friend to </w:t>
      </w:r>
      <w:r w:rsidR="00030FD8" w:rsidRPr="007C4B78">
        <w:rPr>
          <w:rFonts w:asciiTheme="majorHAnsi" w:hAnsiTheme="majorHAnsi"/>
        </w:rPr>
        <w:t>bring a case to the district court.</w:t>
      </w:r>
      <w:r w:rsidR="00030FD8" w:rsidRPr="007C4B78">
        <w:rPr>
          <w:rStyle w:val="FootnoteReference"/>
          <w:rFonts w:asciiTheme="majorHAnsi" w:hAnsiTheme="majorHAnsi"/>
        </w:rPr>
        <w:footnoteReference w:id="3"/>
      </w:r>
      <w:r w:rsidRPr="007C4B78">
        <w:rPr>
          <w:rFonts w:asciiTheme="majorHAnsi" w:hAnsiTheme="majorHAnsi"/>
        </w:rPr>
        <w:t xml:space="preserve"> Aside from this law</w:t>
      </w:r>
      <w:r w:rsidR="00164A6A" w:rsidRPr="007C4B78">
        <w:rPr>
          <w:rFonts w:asciiTheme="majorHAnsi" w:hAnsiTheme="majorHAnsi"/>
        </w:rPr>
        <w:t xml:space="preserve"> </w:t>
      </w:r>
      <w:r w:rsidR="00030FD8" w:rsidRPr="007C4B78">
        <w:rPr>
          <w:rFonts w:asciiTheme="majorHAnsi" w:hAnsiTheme="majorHAnsi"/>
        </w:rPr>
        <w:t xml:space="preserve">there are </w:t>
      </w:r>
      <w:r w:rsidR="00164A6A" w:rsidRPr="007C4B78">
        <w:rPr>
          <w:rFonts w:asciiTheme="majorHAnsi" w:hAnsiTheme="majorHAnsi"/>
        </w:rPr>
        <w:t xml:space="preserve">few explicit </w:t>
      </w:r>
      <w:r w:rsidR="00030FD8" w:rsidRPr="007C4B78">
        <w:rPr>
          <w:rFonts w:asciiTheme="majorHAnsi" w:hAnsiTheme="majorHAnsi"/>
        </w:rPr>
        <w:t xml:space="preserve">prohibitions </w:t>
      </w:r>
      <w:r w:rsidR="00164A6A" w:rsidRPr="007C4B78">
        <w:rPr>
          <w:rFonts w:asciiTheme="majorHAnsi" w:hAnsiTheme="majorHAnsi"/>
        </w:rPr>
        <w:t xml:space="preserve">children taking part in legal proceedings and many of the laws discussed </w:t>
      </w:r>
      <w:r w:rsidR="00E56C77" w:rsidRPr="007C4B78">
        <w:rPr>
          <w:rFonts w:asciiTheme="majorHAnsi" w:hAnsiTheme="majorHAnsi"/>
        </w:rPr>
        <w:t xml:space="preserve">further below </w:t>
      </w:r>
      <w:r w:rsidR="00164A6A" w:rsidRPr="007C4B78">
        <w:rPr>
          <w:rFonts w:asciiTheme="majorHAnsi" w:hAnsiTheme="majorHAnsi"/>
        </w:rPr>
        <w:t>potentially could allow for the voice of children with cognitive disabilities</w:t>
      </w:r>
      <w:r w:rsidR="00E56C77" w:rsidRPr="007C4B78">
        <w:rPr>
          <w:rFonts w:asciiTheme="majorHAnsi" w:hAnsiTheme="majorHAnsi"/>
        </w:rPr>
        <w:t xml:space="preserve"> to be heard. However, our experience, as documented in this report, is that existing</w:t>
      </w:r>
      <w:r w:rsidR="00164A6A" w:rsidRPr="007C4B78">
        <w:rPr>
          <w:rFonts w:asciiTheme="majorHAnsi" w:hAnsiTheme="majorHAnsi"/>
        </w:rPr>
        <w:t xml:space="preserve"> laws are not interpreted or used consistently to accommodate for the voice of the child</w:t>
      </w:r>
      <w:r w:rsidR="00E56C77" w:rsidRPr="007C4B78">
        <w:rPr>
          <w:rFonts w:asciiTheme="majorHAnsi" w:hAnsiTheme="majorHAnsi"/>
        </w:rPr>
        <w:t xml:space="preserve"> in Ireland</w:t>
      </w:r>
      <w:r w:rsidR="00164A6A" w:rsidRPr="007C4B78">
        <w:rPr>
          <w:rFonts w:asciiTheme="majorHAnsi" w:hAnsiTheme="majorHAnsi"/>
        </w:rPr>
        <w:t xml:space="preserve">. Interviews with experts consistently showed that </w:t>
      </w:r>
      <w:r w:rsidR="00E56C77" w:rsidRPr="007C4B78">
        <w:rPr>
          <w:rFonts w:asciiTheme="majorHAnsi" w:hAnsiTheme="majorHAnsi"/>
        </w:rPr>
        <w:t xml:space="preserve">cultural and attitudinal barriers often operate to exclude </w:t>
      </w:r>
      <w:r w:rsidR="00164A6A" w:rsidRPr="007C4B78">
        <w:rPr>
          <w:rFonts w:asciiTheme="majorHAnsi" w:hAnsiTheme="majorHAnsi"/>
        </w:rPr>
        <w:t>children</w:t>
      </w:r>
      <w:r w:rsidR="00E56C77" w:rsidRPr="007C4B78">
        <w:rPr>
          <w:rFonts w:asciiTheme="majorHAnsi" w:hAnsiTheme="majorHAnsi"/>
        </w:rPr>
        <w:t xml:space="preserve"> with cognitive disabilities</w:t>
      </w:r>
      <w:r w:rsidR="00164A6A" w:rsidRPr="007C4B78">
        <w:rPr>
          <w:rFonts w:asciiTheme="majorHAnsi" w:hAnsiTheme="majorHAnsi"/>
        </w:rPr>
        <w:t xml:space="preserve"> in non-criminal proceedings. </w:t>
      </w:r>
    </w:p>
    <w:p w14:paraId="4A32F2B9" w14:textId="77777777" w:rsidR="00164A6A" w:rsidRPr="007C4B78" w:rsidRDefault="00164A6A" w:rsidP="004D12C3">
      <w:pPr>
        <w:jc w:val="both"/>
        <w:rPr>
          <w:rFonts w:asciiTheme="majorHAnsi" w:hAnsiTheme="majorHAnsi"/>
        </w:rPr>
      </w:pPr>
    </w:p>
    <w:p w14:paraId="1F9684B1" w14:textId="77777777" w:rsidR="007C4B78" w:rsidRDefault="007C4B78" w:rsidP="004D12C3">
      <w:pPr>
        <w:jc w:val="both"/>
        <w:rPr>
          <w:rFonts w:asciiTheme="majorHAnsi" w:hAnsiTheme="majorHAnsi"/>
          <w:i/>
        </w:rPr>
      </w:pPr>
    </w:p>
    <w:p w14:paraId="6C6D39D6" w14:textId="77777777" w:rsidR="00164A6A" w:rsidRPr="007C4B78" w:rsidRDefault="00856BF5" w:rsidP="004D12C3">
      <w:pPr>
        <w:jc w:val="both"/>
        <w:rPr>
          <w:rFonts w:asciiTheme="majorHAnsi" w:hAnsiTheme="majorHAnsi"/>
          <w:i/>
        </w:rPr>
      </w:pPr>
      <w:r w:rsidRPr="007C4B78">
        <w:rPr>
          <w:rFonts w:asciiTheme="majorHAnsi" w:hAnsiTheme="majorHAnsi"/>
          <w:i/>
        </w:rPr>
        <w:t>Interviews with Parents</w:t>
      </w:r>
    </w:p>
    <w:p w14:paraId="3550C825" w14:textId="77777777" w:rsidR="00856BF5" w:rsidRPr="007C4B78" w:rsidRDefault="00856BF5" w:rsidP="004D12C3">
      <w:pPr>
        <w:jc w:val="both"/>
        <w:rPr>
          <w:rFonts w:asciiTheme="majorHAnsi" w:hAnsiTheme="majorHAnsi"/>
        </w:rPr>
      </w:pPr>
      <w:r w:rsidRPr="007C4B78">
        <w:rPr>
          <w:rFonts w:asciiTheme="majorHAnsi" w:hAnsiTheme="majorHAnsi"/>
        </w:rPr>
        <w:lastRenderedPageBreak/>
        <w:t>Through the course of the project we had interviews with a small sample of</w:t>
      </w:r>
      <w:r w:rsidR="00C273D7" w:rsidRPr="007C4B78">
        <w:rPr>
          <w:rFonts w:asciiTheme="majorHAnsi" w:hAnsiTheme="majorHAnsi"/>
        </w:rPr>
        <w:t xml:space="preserve"> five</w:t>
      </w:r>
      <w:r w:rsidRPr="007C4B78">
        <w:rPr>
          <w:rFonts w:asciiTheme="majorHAnsi" w:hAnsiTheme="majorHAnsi"/>
        </w:rPr>
        <w:t xml:space="preserve"> parents. The parents consistently spoke of difficulties in accessing the services their child needed to </w:t>
      </w:r>
      <w:r w:rsidR="00E56C77" w:rsidRPr="007C4B78">
        <w:rPr>
          <w:rFonts w:asciiTheme="majorHAnsi" w:hAnsiTheme="majorHAnsi"/>
        </w:rPr>
        <w:t xml:space="preserve">receive meaningful </w:t>
      </w:r>
      <w:r w:rsidRPr="007C4B78">
        <w:rPr>
          <w:rFonts w:asciiTheme="majorHAnsi" w:hAnsiTheme="majorHAnsi"/>
        </w:rPr>
        <w:t xml:space="preserve">education, </w:t>
      </w:r>
      <w:r w:rsidR="00E56C77" w:rsidRPr="007C4B78">
        <w:rPr>
          <w:rFonts w:asciiTheme="majorHAnsi" w:hAnsiTheme="majorHAnsi"/>
        </w:rPr>
        <w:t>health</w:t>
      </w:r>
      <w:r w:rsidRPr="007C4B78">
        <w:rPr>
          <w:rFonts w:asciiTheme="majorHAnsi" w:hAnsiTheme="majorHAnsi"/>
        </w:rPr>
        <w:t xml:space="preserve">care </w:t>
      </w:r>
      <w:r w:rsidR="00E56C77" w:rsidRPr="007C4B78">
        <w:rPr>
          <w:rFonts w:asciiTheme="majorHAnsi" w:hAnsiTheme="majorHAnsi"/>
        </w:rPr>
        <w:t>and victim support</w:t>
      </w:r>
      <w:r w:rsidRPr="007C4B78">
        <w:rPr>
          <w:rFonts w:asciiTheme="majorHAnsi" w:hAnsiTheme="majorHAnsi"/>
        </w:rPr>
        <w:t xml:space="preserve">. </w:t>
      </w:r>
      <w:r w:rsidR="00BA750C" w:rsidRPr="007C4B78">
        <w:rPr>
          <w:rFonts w:asciiTheme="majorHAnsi" w:hAnsiTheme="majorHAnsi"/>
        </w:rPr>
        <w:t>Many parents</w:t>
      </w:r>
      <w:r w:rsidRPr="007C4B78">
        <w:rPr>
          <w:rFonts w:asciiTheme="majorHAnsi" w:hAnsiTheme="majorHAnsi"/>
        </w:rPr>
        <w:t xml:space="preserve"> experienced retaliatory actions when they made complaints against a state body for failure to deliver services. Although this is a small sample size it is worrying that parents seeking to remove barriers faced by their children </w:t>
      </w:r>
      <w:r w:rsidR="00E56C77" w:rsidRPr="007C4B78">
        <w:rPr>
          <w:rFonts w:asciiTheme="majorHAnsi" w:hAnsiTheme="majorHAnsi"/>
        </w:rPr>
        <w:t>often face</w:t>
      </w:r>
      <w:r w:rsidRPr="007C4B78">
        <w:rPr>
          <w:rFonts w:asciiTheme="majorHAnsi" w:hAnsiTheme="majorHAnsi"/>
        </w:rPr>
        <w:t xml:space="preserve"> further barriers </w:t>
      </w:r>
      <w:r w:rsidR="00E56C77" w:rsidRPr="007C4B78">
        <w:rPr>
          <w:rFonts w:asciiTheme="majorHAnsi" w:hAnsiTheme="majorHAnsi"/>
        </w:rPr>
        <w:t>imposed</w:t>
      </w:r>
      <w:r w:rsidRPr="007C4B78">
        <w:rPr>
          <w:rFonts w:asciiTheme="majorHAnsi" w:hAnsiTheme="majorHAnsi"/>
        </w:rPr>
        <w:t xml:space="preserve"> by state bodies</w:t>
      </w:r>
      <w:r w:rsidR="00E56C77" w:rsidRPr="007C4B78">
        <w:rPr>
          <w:rFonts w:asciiTheme="majorHAnsi" w:hAnsiTheme="majorHAnsi"/>
        </w:rPr>
        <w:t xml:space="preserve"> as a result</w:t>
      </w:r>
      <w:r w:rsidRPr="007C4B78">
        <w:rPr>
          <w:rFonts w:asciiTheme="majorHAnsi" w:hAnsiTheme="majorHAnsi"/>
        </w:rPr>
        <w:t xml:space="preserve">. </w:t>
      </w:r>
    </w:p>
    <w:p w14:paraId="771B0197" w14:textId="77777777" w:rsidR="00856BF5" w:rsidRPr="007C4B78" w:rsidRDefault="00856BF5" w:rsidP="004D12C3">
      <w:pPr>
        <w:jc w:val="both"/>
        <w:rPr>
          <w:rFonts w:asciiTheme="majorHAnsi" w:hAnsiTheme="majorHAnsi"/>
        </w:rPr>
      </w:pPr>
    </w:p>
    <w:p w14:paraId="6218E900" w14:textId="77777777" w:rsidR="00856BF5" w:rsidRPr="007C4B78" w:rsidRDefault="00856BF5" w:rsidP="004D12C3">
      <w:pPr>
        <w:jc w:val="both"/>
        <w:rPr>
          <w:rFonts w:asciiTheme="majorHAnsi" w:hAnsiTheme="majorHAnsi"/>
          <w:i/>
        </w:rPr>
      </w:pPr>
      <w:r w:rsidRPr="007C4B78">
        <w:rPr>
          <w:rFonts w:asciiTheme="majorHAnsi" w:hAnsiTheme="majorHAnsi"/>
          <w:i/>
        </w:rPr>
        <w:t>Training</w:t>
      </w:r>
    </w:p>
    <w:p w14:paraId="70AF9B9C" w14:textId="77777777" w:rsidR="00856BF5" w:rsidRPr="007C4B78" w:rsidRDefault="00856BF5" w:rsidP="004D12C3">
      <w:pPr>
        <w:jc w:val="both"/>
        <w:rPr>
          <w:rFonts w:asciiTheme="majorHAnsi" w:hAnsiTheme="majorHAnsi"/>
        </w:rPr>
      </w:pPr>
      <w:r w:rsidRPr="007C4B78">
        <w:rPr>
          <w:rFonts w:asciiTheme="majorHAnsi" w:hAnsiTheme="majorHAnsi"/>
        </w:rPr>
        <w:t xml:space="preserve">As Ireland perhaps moves towards the </w:t>
      </w:r>
      <w:r w:rsidR="00030FD8" w:rsidRPr="007C4B78">
        <w:rPr>
          <w:rFonts w:asciiTheme="majorHAnsi" w:hAnsiTheme="majorHAnsi"/>
        </w:rPr>
        <w:t xml:space="preserve">possible </w:t>
      </w:r>
      <w:r w:rsidRPr="007C4B78">
        <w:rPr>
          <w:rFonts w:asciiTheme="majorHAnsi" w:hAnsiTheme="majorHAnsi"/>
        </w:rPr>
        <w:t>final enactment of the Children’s Rights Amendment</w:t>
      </w:r>
      <w:r w:rsidR="00E56C77" w:rsidRPr="007C4B78">
        <w:rPr>
          <w:rFonts w:asciiTheme="majorHAnsi" w:hAnsiTheme="majorHAnsi"/>
        </w:rPr>
        <w:t xml:space="preserve"> to the Constitution</w:t>
      </w:r>
      <w:r w:rsidRPr="007C4B78">
        <w:rPr>
          <w:rFonts w:asciiTheme="majorHAnsi" w:hAnsiTheme="majorHAnsi"/>
        </w:rPr>
        <w:t xml:space="preserve"> it is clear from interviews with experts that there will need to be effective training to professionals who work with </w:t>
      </w:r>
      <w:r w:rsidR="00730520" w:rsidRPr="007C4B78">
        <w:rPr>
          <w:rFonts w:asciiTheme="majorHAnsi" w:hAnsiTheme="majorHAnsi"/>
        </w:rPr>
        <w:t xml:space="preserve">and for </w:t>
      </w:r>
      <w:r w:rsidRPr="007C4B78">
        <w:rPr>
          <w:rFonts w:asciiTheme="majorHAnsi" w:hAnsiTheme="majorHAnsi"/>
        </w:rPr>
        <w:t xml:space="preserve">children on how </w:t>
      </w:r>
      <w:r w:rsidR="00E56C77" w:rsidRPr="007C4B78">
        <w:rPr>
          <w:rFonts w:asciiTheme="majorHAnsi" w:hAnsiTheme="majorHAnsi"/>
        </w:rPr>
        <w:t>to effectively support</w:t>
      </w:r>
      <w:r w:rsidRPr="007C4B78">
        <w:rPr>
          <w:rFonts w:asciiTheme="majorHAnsi" w:hAnsiTheme="majorHAnsi"/>
        </w:rPr>
        <w:t xml:space="preserve"> the voice of the child as </w:t>
      </w:r>
      <w:r w:rsidR="00E56C77" w:rsidRPr="007C4B78">
        <w:rPr>
          <w:rFonts w:asciiTheme="majorHAnsi" w:hAnsiTheme="majorHAnsi"/>
        </w:rPr>
        <w:t>set out</w:t>
      </w:r>
      <w:r w:rsidRPr="007C4B78">
        <w:rPr>
          <w:rFonts w:asciiTheme="majorHAnsi" w:hAnsiTheme="majorHAnsi"/>
        </w:rPr>
        <w:t xml:space="preserve"> in</w:t>
      </w:r>
      <w:r w:rsidR="00E56C77" w:rsidRPr="007C4B78">
        <w:rPr>
          <w:rFonts w:asciiTheme="majorHAnsi" w:hAnsiTheme="majorHAnsi"/>
        </w:rPr>
        <w:t xml:space="preserve"> the</w:t>
      </w:r>
      <w:r w:rsidRPr="007C4B78">
        <w:rPr>
          <w:rFonts w:asciiTheme="majorHAnsi" w:hAnsiTheme="majorHAnsi"/>
        </w:rPr>
        <w:t>31</w:t>
      </w:r>
      <w:r w:rsidRPr="007C4B78">
        <w:rPr>
          <w:rFonts w:asciiTheme="majorHAnsi" w:hAnsiTheme="majorHAnsi"/>
          <w:vertAlign w:val="superscript"/>
        </w:rPr>
        <w:t>st</w:t>
      </w:r>
      <w:r w:rsidRPr="007C4B78">
        <w:rPr>
          <w:rFonts w:asciiTheme="majorHAnsi" w:hAnsiTheme="majorHAnsi"/>
        </w:rPr>
        <w:t xml:space="preserve"> amendment</w:t>
      </w:r>
      <w:r w:rsidR="00E56C77" w:rsidRPr="007C4B78">
        <w:rPr>
          <w:rFonts w:asciiTheme="majorHAnsi" w:hAnsiTheme="majorHAnsi"/>
        </w:rPr>
        <w:t xml:space="preserve"> to the Constitution</w:t>
      </w:r>
      <w:r w:rsidRPr="007C4B78">
        <w:rPr>
          <w:rFonts w:asciiTheme="majorHAnsi" w:hAnsiTheme="majorHAnsi"/>
        </w:rPr>
        <w:t>.</w:t>
      </w:r>
      <w:r w:rsidR="002A7F06" w:rsidRPr="007C4B78">
        <w:rPr>
          <w:rFonts w:asciiTheme="majorHAnsi" w:hAnsiTheme="majorHAnsi"/>
        </w:rPr>
        <w:t xml:space="preserve"> Since the 31</w:t>
      </w:r>
      <w:r w:rsidR="002A7F06" w:rsidRPr="007C4B78">
        <w:rPr>
          <w:rFonts w:asciiTheme="majorHAnsi" w:hAnsiTheme="majorHAnsi"/>
          <w:vertAlign w:val="superscript"/>
        </w:rPr>
        <w:t>st</w:t>
      </w:r>
      <w:r w:rsidR="002A7F06" w:rsidRPr="007C4B78">
        <w:rPr>
          <w:rFonts w:asciiTheme="majorHAnsi" w:hAnsiTheme="majorHAnsi"/>
        </w:rPr>
        <w:t xml:space="preserve"> amendment is limited in scope to</w:t>
      </w:r>
      <w:r w:rsidR="005D27BF" w:rsidRPr="007C4B78">
        <w:rPr>
          <w:rFonts w:asciiTheme="majorHAnsi" w:hAnsiTheme="majorHAnsi"/>
        </w:rPr>
        <w:t xml:space="preserve"> care proceedings and issues of guardianship, custody and access, further training would be needed to ensure that professionals can facilitate the voice of the child to be heard in other legal proceedings – including education decisions and the provision of health and social care supports to children with cognitive disabilities.</w:t>
      </w:r>
    </w:p>
    <w:p w14:paraId="1BF19E1E" w14:textId="77777777" w:rsidR="00164A6A" w:rsidRPr="007C4B78" w:rsidRDefault="00F43151" w:rsidP="004D12C3">
      <w:pPr>
        <w:jc w:val="both"/>
        <w:rPr>
          <w:rFonts w:asciiTheme="majorHAnsi" w:hAnsiTheme="majorHAnsi"/>
        </w:rPr>
      </w:pPr>
      <w:r w:rsidRPr="007C4B78">
        <w:rPr>
          <w:rFonts w:asciiTheme="majorHAnsi" w:hAnsiTheme="majorHAnsi"/>
        </w:rPr>
        <w:br w:type="page"/>
      </w:r>
    </w:p>
    <w:p w14:paraId="1F4BB4D9" w14:textId="77777777" w:rsidR="004554BA" w:rsidRPr="007C4B78" w:rsidRDefault="00A30B91" w:rsidP="004D12C3">
      <w:pPr>
        <w:pStyle w:val="Heading1"/>
        <w:jc w:val="both"/>
      </w:pPr>
      <w:bookmarkStart w:id="9" w:name="_Toc417303136"/>
      <w:r w:rsidRPr="007C4B78">
        <w:lastRenderedPageBreak/>
        <w:t xml:space="preserve">Background to Rights of Children with </w:t>
      </w:r>
      <w:r w:rsidR="00F9763E" w:rsidRPr="007C4B78">
        <w:t>Cognitive</w:t>
      </w:r>
      <w:r w:rsidRPr="007C4B78">
        <w:t xml:space="preserve"> Disabilities in Ireland</w:t>
      </w:r>
      <w:bookmarkEnd w:id="9"/>
    </w:p>
    <w:p w14:paraId="3665BB67" w14:textId="77777777" w:rsidR="009E553D" w:rsidRPr="007C4B78" w:rsidRDefault="009E553D" w:rsidP="004D12C3">
      <w:pPr>
        <w:jc w:val="both"/>
      </w:pPr>
    </w:p>
    <w:p w14:paraId="77D33EB3" w14:textId="77777777" w:rsidR="00EA70B3" w:rsidRPr="007C4B78" w:rsidRDefault="00F9763E" w:rsidP="004D12C3">
      <w:pPr>
        <w:jc w:val="both"/>
        <w:rPr>
          <w:rFonts w:asciiTheme="majorHAnsi" w:hAnsiTheme="majorHAnsi"/>
        </w:rPr>
      </w:pPr>
      <w:r w:rsidRPr="007C4B78">
        <w:rPr>
          <w:rFonts w:asciiTheme="majorHAnsi" w:hAnsiTheme="majorHAnsi"/>
        </w:rPr>
        <w:t>In order to examine and determine the barriers</w:t>
      </w:r>
      <w:r w:rsidR="0049015D" w:rsidRPr="007C4B78">
        <w:rPr>
          <w:rFonts w:asciiTheme="majorHAnsi" w:hAnsiTheme="majorHAnsi"/>
        </w:rPr>
        <w:t xml:space="preserve"> to accessing justice facing</w:t>
      </w:r>
      <w:r w:rsidRPr="007C4B78">
        <w:rPr>
          <w:rFonts w:asciiTheme="majorHAnsi" w:hAnsiTheme="majorHAnsi"/>
        </w:rPr>
        <w:t xml:space="preserve"> children with cognitive disabilities in Ireland</w:t>
      </w:r>
      <w:r w:rsidR="00A62173" w:rsidRPr="007C4B78">
        <w:rPr>
          <w:rFonts w:asciiTheme="majorHAnsi" w:hAnsiTheme="majorHAnsi"/>
        </w:rPr>
        <w:t>,</w:t>
      </w:r>
      <w:r w:rsidRPr="007C4B78">
        <w:rPr>
          <w:rFonts w:asciiTheme="majorHAnsi" w:hAnsiTheme="majorHAnsi"/>
        </w:rPr>
        <w:t xml:space="preserve"> it is important to first determine what rights children have been granted in Ireland in the three area</w:t>
      </w:r>
      <w:r w:rsidR="00772322" w:rsidRPr="007C4B78">
        <w:rPr>
          <w:rFonts w:asciiTheme="majorHAnsi" w:hAnsiTheme="majorHAnsi"/>
        </w:rPr>
        <w:t xml:space="preserve">s of </w:t>
      </w:r>
      <w:r w:rsidR="00BA750C" w:rsidRPr="007C4B78">
        <w:rPr>
          <w:rFonts w:asciiTheme="majorHAnsi" w:hAnsiTheme="majorHAnsi"/>
        </w:rPr>
        <w:t>focus: education</w:t>
      </w:r>
      <w:r w:rsidR="00A62173" w:rsidRPr="007C4B78">
        <w:rPr>
          <w:rFonts w:asciiTheme="majorHAnsi" w:hAnsiTheme="majorHAnsi"/>
        </w:rPr>
        <w:t>, living situations and</w:t>
      </w:r>
      <w:r w:rsidRPr="007C4B78">
        <w:rPr>
          <w:rFonts w:asciiTheme="majorHAnsi" w:hAnsiTheme="majorHAnsi"/>
        </w:rPr>
        <w:t xml:space="preserve"> the criminal justice system</w:t>
      </w:r>
      <w:r w:rsidR="00220E8D" w:rsidRPr="007C4B78">
        <w:rPr>
          <w:rFonts w:asciiTheme="majorHAnsi" w:hAnsiTheme="majorHAnsi"/>
        </w:rPr>
        <w:t xml:space="preserve">. This analysis will help to demonstrate </w:t>
      </w:r>
      <w:r w:rsidRPr="007C4B78">
        <w:rPr>
          <w:rFonts w:asciiTheme="majorHAnsi" w:hAnsiTheme="majorHAnsi"/>
        </w:rPr>
        <w:t xml:space="preserve">how a disability identity may affect a child’s ability to exercise or claim those rights. </w:t>
      </w:r>
    </w:p>
    <w:p w14:paraId="7E194286" w14:textId="77777777" w:rsidR="00DB1885" w:rsidRPr="007C4B78" w:rsidRDefault="00DB1885" w:rsidP="004D12C3">
      <w:pPr>
        <w:pStyle w:val="Heading2"/>
        <w:jc w:val="both"/>
        <w:rPr>
          <w:rFonts w:asciiTheme="majorHAnsi" w:hAnsiTheme="majorHAnsi"/>
        </w:rPr>
      </w:pPr>
      <w:bookmarkStart w:id="10" w:name="_Toc417303137"/>
      <w:r w:rsidRPr="007C4B78">
        <w:rPr>
          <w:rFonts w:asciiTheme="majorHAnsi" w:hAnsiTheme="majorHAnsi"/>
        </w:rPr>
        <w:t>International Law</w:t>
      </w:r>
      <w:bookmarkEnd w:id="10"/>
    </w:p>
    <w:p w14:paraId="2A1A054B" w14:textId="77777777" w:rsidR="00DB1885" w:rsidRPr="007C4B78" w:rsidRDefault="00DB1885" w:rsidP="004D12C3">
      <w:pPr>
        <w:jc w:val="both"/>
        <w:rPr>
          <w:rFonts w:asciiTheme="majorHAnsi" w:hAnsiTheme="majorHAnsi"/>
        </w:rPr>
      </w:pPr>
      <w:r w:rsidRPr="007C4B78">
        <w:rPr>
          <w:rFonts w:asciiTheme="majorHAnsi" w:hAnsiTheme="majorHAnsi"/>
        </w:rPr>
        <w:t xml:space="preserve">Ireland has ratified both the Convention on the Rights of the Child and </w:t>
      </w:r>
      <w:r w:rsidR="00E43F42" w:rsidRPr="007C4B78">
        <w:rPr>
          <w:rFonts w:asciiTheme="majorHAnsi" w:hAnsiTheme="majorHAnsi"/>
        </w:rPr>
        <w:t xml:space="preserve">two of its three </w:t>
      </w:r>
      <w:r w:rsidRPr="007C4B78">
        <w:rPr>
          <w:rFonts w:asciiTheme="majorHAnsi" w:hAnsiTheme="majorHAnsi"/>
        </w:rPr>
        <w:t>Optional Protocol</w:t>
      </w:r>
      <w:r w:rsidR="00E43F42" w:rsidRPr="007C4B78">
        <w:rPr>
          <w:rFonts w:asciiTheme="majorHAnsi" w:hAnsiTheme="majorHAnsi"/>
        </w:rPr>
        <w:t>s</w:t>
      </w:r>
      <w:r w:rsidRPr="007C4B78">
        <w:rPr>
          <w:rFonts w:asciiTheme="majorHAnsi" w:hAnsiTheme="majorHAnsi"/>
        </w:rPr>
        <w:t>.</w:t>
      </w:r>
      <w:r w:rsidR="00E43F42" w:rsidRPr="007C4B78">
        <w:rPr>
          <w:rStyle w:val="FootnoteReference"/>
          <w:rFonts w:asciiTheme="majorHAnsi" w:hAnsiTheme="majorHAnsi"/>
        </w:rPr>
        <w:footnoteReference w:id="4"/>
      </w:r>
      <w:r w:rsidRPr="007C4B78">
        <w:rPr>
          <w:rFonts w:asciiTheme="majorHAnsi" w:hAnsiTheme="majorHAnsi"/>
        </w:rPr>
        <w:t xml:space="preserve"> The Convention on the Rights of the Child </w:t>
      </w:r>
      <w:r w:rsidR="00976DE7" w:rsidRPr="007C4B78">
        <w:rPr>
          <w:rFonts w:asciiTheme="majorHAnsi" w:hAnsiTheme="majorHAnsi"/>
        </w:rPr>
        <w:t>includes</w:t>
      </w:r>
      <w:r w:rsidR="00317647" w:rsidRPr="007C4B78">
        <w:rPr>
          <w:rFonts w:asciiTheme="majorHAnsi" w:hAnsiTheme="majorHAnsi"/>
        </w:rPr>
        <w:t xml:space="preserve"> the right of a child to freely express their </w:t>
      </w:r>
      <w:r w:rsidR="00BA750C" w:rsidRPr="007C4B78">
        <w:rPr>
          <w:rFonts w:asciiTheme="majorHAnsi" w:hAnsiTheme="majorHAnsi"/>
        </w:rPr>
        <w:t>views</w:t>
      </w:r>
      <w:r w:rsidR="005D27BF" w:rsidRPr="007C4B78">
        <w:rPr>
          <w:rFonts w:asciiTheme="majorHAnsi" w:hAnsiTheme="majorHAnsi"/>
        </w:rPr>
        <w:t xml:space="preserve"> </w:t>
      </w:r>
      <w:r w:rsidR="00BA750C" w:rsidRPr="007C4B78">
        <w:rPr>
          <w:rFonts w:asciiTheme="majorHAnsi" w:hAnsiTheme="majorHAnsi"/>
        </w:rPr>
        <w:t>on</w:t>
      </w:r>
      <w:r w:rsidR="00317647" w:rsidRPr="007C4B78">
        <w:rPr>
          <w:rFonts w:asciiTheme="majorHAnsi" w:hAnsiTheme="majorHAnsi"/>
        </w:rPr>
        <w:t xml:space="preserve"> all matters affecting the child with the views being given due weight in accordance with the age and maturity of the child.</w:t>
      </w:r>
      <w:r w:rsidR="00317647" w:rsidRPr="007C4B78">
        <w:rPr>
          <w:rStyle w:val="FootnoteReference"/>
          <w:rFonts w:asciiTheme="majorHAnsi" w:hAnsiTheme="majorHAnsi"/>
        </w:rPr>
        <w:footnoteReference w:id="5"/>
      </w:r>
      <w:r w:rsidRPr="007C4B78">
        <w:rPr>
          <w:rFonts w:asciiTheme="majorHAnsi" w:hAnsiTheme="majorHAnsi"/>
        </w:rPr>
        <w:t>Unfortunately, however, Ireland has yet to ratify the Convention on the Rights of People with Disabilities.</w:t>
      </w:r>
      <w:r w:rsidR="00505765" w:rsidRPr="007C4B78">
        <w:rPr>
          <w:rStyle w:val="FootnoteReference"/>
          <w:rFonts w:asciiTheme="majorHAnsi" w:hAnsiTheme="majorHAnsi"/>
        </w:rPr>
        <w:footnoteReference w:id="6"/>
      </w:r>
    </w:p>
    <w:p w14:paraId="4349D667" w14:textId="77777777" w:rsidR="00A326E9" w:rsidRPr="007C4B78" w:rsidRDefault="00A326E9" w:rsidP="004D12C3">
      <w:pPr>
        <w:jc w:val="both"/>
        <w:rPr>
          <w:rFonts w:asciiTheme="majorHAnsi" w:hAnsiTheme="majorHAnsi"/>
        </w:rPr>
      </w:pPr>
    </w:p>
    <w:p w14:paraId="02B30430" w14:textId="77777777" w:rsidR="00A326E9" w:rsidRPr="007C4B78" w:rsidRDefault="00A326E9" w:rsidP="00A326E9">
      <w:pPr>
        <w:pStyle w:val="Heading2"/>
      </w:pPr>
      <w:bookmarkStart w:id="11" w:name="_Toc417303138"/>
      <w:r w:rsidRPr="007C4B78">
        <w:t>European Law</w:t>
      </w:r>
      <w:bookmarkEnd w:id="11"/>
    </w:p>
    <w:p w14:paraId="28B465F4" w14:textId="77777777" w:rsidR="00A326E9" w:rsidRPr="007C4B78" w:rsidRDefault="00A326E9" w:rsidP="00A326E9">
      <w:r w:rsidRPr="007C4B78">
        <w:t>In 2011 the Council of Europe promulgated the Child-friendly justice guidelines</w:t>
      </w:r>
      <w:r w:rsidRPr="007C4B78">
        <w:rPr>
          <w:rStyle w:val="FootnoteReference"/>
        </w:rPr>
        <w:footnoteReference w:id="7"/>
      </w:r>
      <w:proofErr w:type="gramStart"/>
      <w:r w:rsidRPr="007C4B78">
        <w:t xml:space="preserve"> which</w:t>
      </w:r>
      <w:proofErr w:type="gramEnd"/>
      <w:r w:rsidRPr="007C4B78">
        <w:t xml:space="preserve"> draw on such fundamental principles as participation of the child, protection of the dignity of the child and a definition of best interest that states this should be determined on an individualised basis.</w:t>
      </w:r>
      <w:r w:rsidR="006C1607" w:rsidRPr="007C4B78">
        <w:t xml:space="preserve"> The Victim's Directive was passed in 2012 </w:t>
      </w:r>
      <w:r w:rsidR="00253D8E" w:rsidRPr="007C4B78">
        <w:t xml:space="preserve">by the European Parliament </w:t>
      </w:r>
      <w:r w:rsidR="006C1607" w:rsidRPr="007C4B78">
        <w:t>and must be implemented by member states by November 2015. It establishes the minimum standards on the rights, supports and protection of victims of crime.</w:t>
      </w:r>
      <w:r w:rsidR="00253D8E" w:rsidRPr="007C4B78">
        <w:rPr>
          <w:rStyle w:val="FootnoteReference"/>
        </w:rPr>
        <w:footnoteReference w:id="8"/>
      </w:r>
      <w:r w:rsidR="006C1607" w:rsidRPr="007C4B78">
        <w:t xml:space="preserve"> </w:t>
      </w:r>
      <w:r w:rsidR="006533F4" w:rsidRPr="007C4B78">
        <w:t xml:space="preserve"> There is also a proposed directive that would apply to children suspected or accused in criminal proceedings.</w:t>
      </w:r>
      <w:r w:rsidR="006533F4" w:rsidRPr="007C4B78">
        <w:rPr>
          <w:rStyle w:val="FootnoteReference"/>
        </w:rPr>
        <w:footnoteReference w:id="9"/>
      </w:r>
      <w:r w:rsidR="006533F4" w:rsidRPr="007C4B78">
        <w:t xml:space="preserve"> Other reports created as a part of this project more thoroughly explore both European and international standards and can be accessed at the MDAC website.</w:t>
      </w:r>
      <w:r w:rsidR="006533F4" w:rsidRPr="007C4B78">
        <w:rPr>
          <w:rStyle w:val="FootnoteReference"/>
        </w:rPr>
        <w:footnoteReference w:id="10"/>
      </w:r>
    </w:p>
    <w:p w14:paraId="2BB8042E" w14:textId="77777777" w:rsidR="00DB1885" w:rsidRPr="007C4B78" w:rsidRDefault="00DB1885" w:rsidP="004D12C3">
      <w:pPr>
        <w:pStyle w:val="Heading2"/>
        <w:jc w:val="both"/>
        <w:rPr>
          <w:rFonts w:asciiTheme="majorHAnsi" w:hAnsiTheme="majorHAnsi"/>
        </w:rPr>
      </w:pPr>
      <w:bookmarkStart w:id="12" w:name="_Toc417303139"/>
      <w:r w:rsidRPr="007C4B78">
        <w:rPr>
          <w:rFonts w:asciiTheme="majorHAnsi" w:hAnsiTheme="majorHAnsi"/>
        </w:rPr>
        <w:lastRenderedPageBreak/>
        <w:t>Constitutional Rights</w:t>
      </w:r>
      <w:bookmarkEnd w:id="12"/>
    </w:p>
    <w:p w14:paraId="4D852E94" w14:textId="77777777" w:rsidR="00DB1885" w:rsidRPr="007C4B78" w:rsidRDefault="00DB1885" w:rsidP="004D12C3">
      <w:pPr>
        <w:jc w:val="both"/>
        <w:rPr>
          <w:rFonts w:asciiTheme="majorHAnsi" w:hAnsiTheme="majorHAnsi"/>
        </w:rPr>
      </w:pPr>
      <w:r w:rsidRPr="007C4B78">
        <w:rPr>
          <w:rFonts w:asciiTheme="majorHAnsi" w:hAnsiTheme="majorHAnsi"/>
        </w:rPr>
        <w:t>Ireland’s Constitution contains very strong</w:t>
      </w:r>
      <w:r w:rsidR="0049015D" w:rsidRPr="007C4B78">
        <w:rPr>
          <w:rFonts w:asciiTheme="majorHAnsi" w:hAnsiTheme="majorHAnsi"/>
        </w:rPr>
        <w:t xml:space="preserve"> provisions</w:t>
      </w:r>
      <w:r w:rsidRPr="007C4B78">
        <w:rPr>
          <w:rFonts w:asciiTheme="majorHAnsi" w:hAnsiTheme="majorHAnsi"/>
        </w:rPr>
        <w:t xml:space="preserve"> on the protection of the family as a unit and as such parents are given the primary right to</w:t>
      </w:r>
      <w:r w:rsidR="0049015D" w:rsidRPr="007C4B78">
        <w:rPr>
          <w:rFonts w:asciiTheme="majorHAnsi" w:hAnsiTheme="majorHAnsi"/>
        </w:rPr>
        <w:t xml:space="preserve"> make decisions for their child, including decisions about where the child will live and how he or she will be education</w:t>
      </w:r>
      <w:r w:rsidRPr="007C4B78">
        <w:rPr>
          <w:rFonts w:asciiTheme="majorHAnsi" w:hAnsiTheme="majorHAnsi"/>
        </w:rPr>
        <w:t>.</w:t>
      </w:r>
      <w:r w:rsidRPr="007C4B78">
        <w:rPr>
          <w:rStyle w:val="FootnoteReference"/>
          <w:rFonts w:asciiTheme="majorHAnsi" w:hAnsiTheme="majorHAnsi"/>
        </w:rPr>
        <w:footnoteReference w:id="11"/>
      </w:r>
      <w:r w:rsidR="00C71F35" w:rsidRPr="007C4B78">
        <w:rPr>
          <w:rFonts w:asciiTheme="majorHAnsi" w:hAnsiTheme="majorHAnsi"/>
        </w:rPr>
        <w:t xml:space="preserve">  The state is required to </w:t>
      </w:r>
      <w:r w:rsidR="00BA750C" w:rsidRPr="007C4B78">
        <w:rPr>
          <w:rFonts w:asciiTheme="majorHAnsi" w:hAnsiTheme="majorHAnsi"/>
        </w:rPr>
        <w:t>fund public</w:t>
      </w:r>
      <w:r w:rsidR="0049015D" w:rsidRPr="007C4B78">
        <w:rPr>
          <w:rFonts w:asciiTheme="majorHAnsi" w:hAnsiTheme="majorHAnsi"/>
        </w:rPr>
        <w:t xml:space="preserve"> education, particularly at primary school level, </w:t>
      </w:r>
      <w:r w:rsidR="00C71F35" w:rsidRPr="007C4B78">
        <w:rPr>
          <w:rFonts w:asciiTheme="majorHAnsi" w:hAnsiTheme="majorHAnsi"/>
        </w:rPr>
        <w:t xml:space="preserve">but parents are </w:t>
      </w:r>
      <w:r w:rsidR="0049015D" w:rsidRPr="007C4B78">
        <w:rPr>
          <w:rFonts w:asciiTheme="majorHAnsi" w:hAnsiTheme="majorHAnsi"/>
        </w:rPr>
        <w:t>free to choose the education they deem most appropriate for their child</w:t>
      </w:r>
      <w:r w:rsidR="00C71F35" w:rsidRPr="007C4B78">
        <w:rPr>
          <w:rFonts w:asciiTheme="majorHAnsi" w:hAnsiTheme="majorHAnsi"/>
        </w:rPr>
        <w:t>.</w:t>
      </w:r>
      <w:r w:rsidR="00C71F35" w:rsidRPr="007C4B78">
        <w:rPr>
          <w:rStyle w:val="FootnoteReference"/>
          <w:rFonts w:asciiTheme="majorHAnsi" w:hAnsiTheme="majorHAnsi"/>
        </w:rPr>
        <w:footnoteReference w:id="12"/>
      </w:r>
      <w:r w:rsidR="00C71F35" w:rsidRPr="007C4B78">
        <w:rPr>
          <w:rFonts w:asciiTheme="majorHAnsi" w:hAnsiTheme="majorHAnsi"/>
        </w:rPr>
        <w:t xml:space="preserve"> The state is obliged to take the place of the parent</w:t>
      </w:r>
      <w:r w:rsidR="0049015D" w:rsidRPr="007C4B78">
        <w:rPr>
          <w:rFonts w:asciiTheme="majorHAnsi" w:hAnsiTheme="majorHAnsi"/>
        </w:rPr>
        <w:t xml:space="preserve"> in making decisions for a child</w:t>
      </w:r>
      <w:r w:rsidR="00C71F35" w:rsidRPr="007C4B78">
        <w:rPr>
          <w:rFonts w:asciiTheme="majorHAnsi" w:hAnsiTheme="majorHAnsi"/>
        </w:rPr>
        <w:t xml:space="preserve"> only in “exceptional cases.”</w:t>
      </w:r>
      <w:r w:rsidR="00C71F35" w:rsidRPr="007C4B78">
        <w:rPr>
          <w:rStyle w:val="FootnoteReference"/>
          <w:rFonts w:asciiTheme="majorHAnsi" w:hAnsiTheme="majorHAnsi"/>
        </w:rPr>
        <w:footnoteReference w:id="13"/>
      </w:r>
    </w:p>
    <w:p w14:paraId="0958C3C1" w14:textId="77777777" w:rsidR="00EA70B3" w:rsidRPr="007C4B78" w:rsidRDefault="00EA70B3" w:rsidP="004D12C3">
      <w:pPr>
        <w:pStyle w:val="Heading2"/>
        <w:jc w:val="both"/>
        <w:rPr>
          <w:rFonts w:asciiTheme="majorHAnsi" w:hAnsiTheme="majorHAnsi"/>
        </w:rPr>
      </w:pPr>
      <w:bookmarkStart w:id="13" w:name="_Toc417303140"/>
      <w:r w:rsidRPr="007C4B78">
        <w:rPr>
          <w:rFonts w:asciiTheme="majorHAnsi" w:hAnsiTheme="majorHAnsi"/>
        </w:rPr>
        <w:t>Discrimination Law</w:t>
      </w:r>
      <w:bookmarkEnd w:id="13"/>
    </w:p>
    <w:p w14:paraId="2D5A6A61" w14:textId="77777777" w:rsidR="00F9763E" w:rsidRPr="007C4B78" w:rsidRDefault="00F9763E" w:rsidP="004D12C3">
      <w:pPr>
        <w:pStyle w:val="task"/>
        <w:ind w:left="0" w:firstLine="0"/>
        <w:jc w:val="both"/>
        <w:rPr>
          <w:rFonts w:asciiTheme="majorHAnsi" w:hAnsiTheme="majorHAnsi"/>
        </w:rPr>
      </w:pPr>
      <w:r w:rsidRPr="007C4B78">
        <w:rPr>
          <w:rFonts w:asciiTheme="majorHAnsi" w:hAnsiTheme="majorHAnsi"/>
        </w:rPr>
        <w:t xml:space="preserve">There are two main anti-discrimination </w:t>
      </w:r>
      <w:r w:rsidR="0049015D" w:rsidRPr="007C4B78">
        <w:rPr>
          <w:rFonts w:asciiTheme="majorHAnsi" w:hAnsiTheme="majorHAnsi"/>
        </w:rPr>
        <w:t>provisions in Irish law which apply to children</w:t>
      </w:r>
      <w:proofErr w:type="gramStart"/>
      <w:r w:rsidR="0049015D" w:rsidRPr="007C4B78">
        <w:rPr>
          <w:rFonts w:asciiTheme="majorHAnsi" w:hAnsiTheme="majorHAnsi"/>
        </w:rPr>
        <w:t>;</w:t>
      </w:r>
      <w:proofErr w:type="gramEnd"/>
      <w:r w:rsidR="0049015D" w:rsidRPr="007C4B78">
        <w:rPr>
          <w:rFonts w:asciiTheme="majorHAnsi" w:hAnsiTheme="majorHAnsi"/>
        </w:rPr>
        <w:t xml:space="preserve"> </w:t>
      </w:r>
      <w:r w:rsidRPr="007C4B78">
        <w:rPr>
          <w:rFonts w:asciiTheme="majorHAnsi" w:hAnsiTheme="majorHAnsi"/>
        </w:rPr>
        <w:t>Article 40 of the Constitution and the Equal Status Acts.  Article 40 of the Constitution holds that “all citizens shall, as human persons, be held equal before the law.”</w:t>
      </w:r>
      <w:r w:rsidRPr="007C4B78">
        <w:rPr>
          <w:rStyle w:val="FootnoteReference"/>
          <w:rFonts w:asciiTheme="majorHAnsi" w:hAnsiTheme="majorHAnsi"/>
        </w:rPr>
        <w:footnoteReference w:id="14"/>
      </w:r>
      <w:r w:rsidR="0049015D" w:rsidRPr="007C4B78">
        <w:rPr>
          <w:rFonts w:asciiTheme="majorHAnsi" w:hAnsiTheme="majorHAnsi"/>
        </w:rPr>
        <w:t xml:space="preserve"> However, this provision has not generally been used to ground progressive decisions on the right to equality in the Irish courts.</w:t>
      </w:r>
      <w:r w:rsidR="00A42864" w:rsidRPr="007C4B78">
        <w:rPr>
          <w:rStyle w:val="FootnoteReference"/>
          <w:rFonts w:asciiTheme="majorHAnsi" w:hAnsiTheme="majorHAnsi"/>
        </w:rPr>
        <w:footnoteReference w:id="15"/>
      </w:r>
    </w:p>
    <w:p w14:paraId="00AFC59D" w14:textId="77777777" w:rsidR="00F9763E" w:rsidRPr="007C4B78" w:rsidRDefault="00F9763E" w:rsidP="004D12C3">
      <w:pPr>
        <w:pStyle w:val="task"/>
        <w:ind w:left="0" w:firstLine="0"/>
        <w:jc w:val="both"/>
        <w:rPr>
          <w:rFonts w:asciiTheme="majorHAnsi" w:hAnsiTheme="majorHAnsi"/>
        </w:rPr>
      </w:pPr>
    </w:p>
    <w:p w14:paraId="723CB840" w14:textId="77777777" w:rsidR="00F9763E" w:rsidRPr="007C4B78" w:rsidRDefault="00976DE7" w:rsidP="004D12C3">
      <w:pPr>
        <w:pStyle w:val="task"/>
        <w:ind w:left="0" w:firstLine="0"/>
        <w:jc w:val="both"/>
        <w:rPr>
          <w:rFonts w:asciiTheme="majorHAnsi" w:hAnsiTheme="majorHAnsi"/>
        </w:rPr>
      </w:pPr>
      <w:r w:rsidRPr="007C4B78">
        <w:rPr>
          <w:rFonts w:asciiTheme="majorHAnsi" w:hAnsiTheme="majorHAnsi"/>
        </w:rPr>
        <w:t>The Equal Status Act</w:t>
      </w:r>
      <w:r w:rsidR="00F9763E" w:rsidRPr="007C4B78">
        <w:rPr>
          <w:rFonts w:asciiTheme="majorHAnsi" w:hAnsiTheme="majorHAnsi"/>
        </w:rPr>
        <w:t xml:space="preserve"> 2000 prohibits </w:t>
      </w:r>
      <w:r w:rsidR="00EA70B3" w:rsidRPr="007C4B78">
        <w:rPr>
          <w:rFonts w:asciiTheme="majorHAnsi" w:hAnsiTheme="majorHAnsi"/>
        </w:rPr>
        <w:t>disability-based</w:t>
      </w:r>
      <w:r w:rsidR="00F9763E" w:rsidRPr="007C4B78">
        <w:rPr>
          <w:rFonts w:asciiTheme="majorHAnsi" w:hAnsiTheme="majorHAnsi"/>
        </w:rPr>
        <w:t xml:space="preserve"> discrimination</w:t>
      </w:r>
      <w:r w:rsidR="00E737C1" w:rsidRPr="007C4B78">
        <w:rPr>
          <w:rFonts w:asciiTheme="majorHAnsi" w:hAnsiTheme="majorHAnsi"/>
        </w:rPr>
        <w:t xml:space="preserve"> and age-based discrimination</w:t>
      </w:r>
      <w:r w:rsidR="00F9763E" w:rsidRPr="007C4B78">
        <w:rPr>
          <w:rFonts w:asciiTheme="majorHAnsi" w:hAnsiTheme="majorHAnsi"/>
        </w:rPr>
        <w:t>.</w:t>
      </w:r>
      <w:r w:rsidR="00F9763E" w:rsidRPr="007C4B78">
        <w:rPr>
          <w:rStyle w:val="FootnoteReference"/>
          <w:rFonts w:asciiTheme="majorHAnsi" w:hAnsiTheme="majorHAnsi"/>
        </w:rPr>
        <w:footnoteReference w:id="16"/>
      </w:r>
      <w:r w:rsidR="00F9763E" w:rsidRPr="007C4B78">
        <w:rPr>
          <w:rFonts w:asciiTheme="majorHAnsi" w:hAnsiTheme="majorHAnsi"/>
        </w:rPr>
        <w:t xml:space="preserve"> Discrimination</w:t>
      </w:r>
      <w:r w:rsidRPr="007C4B78">
        <w:rPr>
          <w:rFonts w:asciiTheme="majorHAnsi" w:hAnsiTheme="majorHAnsi"/>
        </w:rPr>
        <w:t xml:space="preserve"> on the basis of disability</w:t>
      </w:r>
      <w:r w:rsidR="00F9763E" w:rsidRPr="007C4B78">
        <w:rPr>
          <w:rFonts w:asciiTheme="majorHAnsi" w:hAnsiTheme="majorHAnsi"/>
        </w:rPr>
        <w:t xml:space="preserve"> includes the failure to provide reasonable accommodation.</w:t>
      </w:r>
      <w:r w:rsidR="00F9763E" w:rsidRPr="007C4B78">
        <w:rPr>
          <w:rStyle w:val="FootnoteReference"/>
          <w:rFonts w:asciiTheme="majorHAnsi" w:hAnsiTheme="majorHAnsi"/>
        </w:rPr>
        <w:footnoteReference w:id="17"/>
      </w:r>
      <w:r w:rsidR="00F9763E" w:rsidRPr="007C4B78">
        <w:rPr>
          <w:rFonts w:asciiTheme="majorHAnsi" w:hAnsiTheme="majorHAnsi"/>
        </w:rPr>
        <w:t xml:space="preserve"> The </w:t>
      </w:r>
      <w:r w:rsidR="00E737C1" w:rsidRPr="007C4B78">
        <w:rPr>
          <w:rFonts w:asciiTheme="majorHAnsi" w:hAnsiTheme="majorHAnsi"/>
        </w:rPr>
        <w:t>A</w:t>
      </w:r>
      <w:r w:rsidR="00F9763E" w:rsidRPr="007C4B78">
        <w:rPr>
          <w:rFonts w:asciiTheme="majorHAnsi" w:hAnsiTheme="majorHAnsi"/>
        </w:rPr>
        <w:t>ct applies to the disposal of goods or provision</w:t>
      </w:r>
      <w:r w:rsidRPr="007C4B78">
        <w:rPr>
          <w:rFonts w:asciiTheme="majorHAnsi" w:hAnsiTheme="majorHAnsi"/>
        </w:rPr>
        <w:t xml:space="preserve"> of</w:t>
      </w:r>
      <w:r w:rsidR="00F9763E" w:rsidRPr="007C4B78">
        <w:rPr>
          <w:rFonts w:asciiTheme="majorHAnsi" w:hAnsiTheme="majorHAnsi"/>
        </w:rPr>
        <w:t xml:space="preserve"> services to the public. The Equal Status </w:t>
      </w:r>
      <w:r w:rsidR="00E737C1" w:rsidRPr="007C4B78">
        <w:rPr>
          <w:rFonts w:asciiTheme="majorHAnsi" w:hAnsiTheme="majorHAnsi"/>
        </w:rPr>
        <w:t>A</w:t>
      </w:r>
      <w:r w:rsidR="00F9763E" w:rsidRPr="007C4B78">
        <w:rPr>
          <w:rFonts w:asciiTheme="majorHAnsi" w:hAnsiTheme="majorHAnsi"/>
        </w:rPr>
        <w:t>ct also allows for preferential treatment or positive measures intended to promote equality of opportunity or cater to the special needs of persons.</w:t>
      </w:r>
      <w:r w:rsidR="00F9763E" w:rsidRPr="007C4B78">
        <w:rPr>
          <w:rStyle w:val="FootnoteReference"/>
          <w:rFonts w:asciiTheme="majorHAnsi" w:hAnsiTheme="majorHAnsi"/>
        </w:rPr>
        <w:footnoteReference w:id="18"/>
      </w:r>
    </w:p>
    <w:p w14:paraId="1E757381" w14:textId="77777777" w:rsidR="00EA70B3" w:rsidRPr="007C4B78" w:rsidRDefault="00EA70B3" w:rsidP="004D12C3">
      <w:pPr>
        <w:jc w:val="both"/>
        <w:rPr>
          <w:rFonts w:asciiTheme="majorHAnsi" w:eastAsia="Calibri" w:hAnsiTheme="majorHAnsi"/>
        </w:rPr>
      </w:pPr>
    </w:p>
    <w:p w14:paraId="1ADCCB72" w14:textId="77777777" w:rsidR="00F9763E" w:rsidRPr="007C4B78" w:rsidRDefault="00FD6B92" w:rsidP="004D12C3">
      <w:pPr>
        <w:jc w:val="both"/>
        <w:rPr>
          <w:rFonts w:asciiTheme="majorHAnsi" w:eastAsia="Calibri" w:hAnsiTheme="majorHAnsi"/>
        </w:rPr>
      </w:pPr>
      <w:r w:rsidRPr="007C4B78">
        <w:rPr>
          <w:rFonts w:asciiTheme="majorHAnsi" w:eastAsia="Calibri" w:hAnsiTheme="majorHAnsi"/>
        </w:rPr>
        <w:t>Our research indicate</w:t>
      </w:r>
      <w:r w:rsidR="002342E9" w:rsidRPr="007C4B78">
        <w:rPr>
          <w:rFonts w:asciiTheme="majorHAnsi" w:eastAsia="Calibri" w:hAnsiTheme="majorHAnsi"/>
        </w:rPr>
        <w:t>s</w:t>
      </w:r>
      <w:r w:rsidRPr="007C4B78">
        <w:rPr>
          <w:rFonts w:asciiTheme="majorHAnsi" w:eastAsia="Calibri" w:hAnsiTheme="majorHAnsi"/>
        </w:rPr>
        <w:t>, however that these laws are rarely used to uphold the rights of children with cognitive disabilities. A</w:t>
      </w:r>
      <w:r w:rsidR="00F9763E" w:rsidRPr="007C4B78">
        <w:rPr>
          <w:rFonts w:asciiTheme="majorHAnsi" w:eastAsia="Calibri" w:hAnsiTheme="majorHAnsi"/>
        </w:rPr>
        <w:t xml:space="preserve"> child rights expert stated</w:t>
      </w:r>
      <w:r w:rsidR="002342E9" w:rsidRPr="007C4B78">
        <w:rPr>
          <w:rFonts w:asciiTheme="majorHAnsi" w:eastAsia="Calibri" w:hAnsiTheme="majorHAnsi"/>
        </w:rPr>
        <w:t xml:space="preserve"> in an </w:t>
      </w:r>
      <w:r w:rsidR="00BA750C" w:rsidRPr="007C4B78">
        <w:rPr>
          <w:rFonts w:asciiTheme="majorHAnsi" w:eastAsia="Calibri" w:hAnsiTheme="majorHAnsi"/>
        </w:rPr>
        <w:t>interview for</w:t>
      </w:r>
      <w:r w:rsidR="00C11389" w:rsidRPr="007C4B78">
        <w:rPr>
          <w:rFonts w:asciiTheme="majorHAnsi" w:eastAsia="Calibri" w:hAnsiTheme="majorHAnsi"/>
        </w:rPr>
        <w:t xml:space="preserve"> this project </w:t>
      </w:r>
      <w:r w:rsidR="00F9763E" w:rsidRPr="007C4B78">
        <w:rPr>
          <w:rFonts w:asciiTheme="majorHAnsi" w:eastAsia="Calibri" w:hAnsiTheme="majorHAnsi"/>
        </w:rPr>
        <w:t xml:space="preserve">that the equality framework has not been effectively used by lawyers to address inequality that impacts on children with </w:t>
      </w:r>
      <w:r w:rsidRPr="007C4B78">
        <w:rPr>
          <w:rFonts w:asciiTheme="majorHAnsi" w:eastAsia="Calibri" w:hAnsiTheme="majorHAnsi"/>
        </w:rPr>
        <w:t>cognitive disabilities</w:t>
      </w:r>
      <w:r w:rsidR="00F9763E" w:rsidRPr="007C4B78">
        <w:rPr>
          <w:rFonts w:asciiTheme="majorHAnsi" w:eastAsia="Calibri" w:hAnsiTheme="majorHAnsi"/>
        </w:rPr>
        <w:t xml:space="preserve">, since cases </w:t>
      </w:r>
      <w:r w:rsidR="00FE3AAA" w:rsidRPr="007C4B78">
        <w:rPr>
          <w:rFonts w:asciiTheme="majorHAnsi" w:eastAsia="Calibri" w:hAnsiTheme="majorHAnsi"/>
        </w:rPr>
        <w:t xml:space="preserve">involving children </w:t>
      </w:r>
      <w:r w:rsidR="00F9763E" w:rsidRPr="007C4B78">
        <w:rPr>
          <w:rFonts w:asciiTheme="majorHAnsi" w:eastAsia="Calibri" w:hAnsiTheme="majorHAnsi"/>
        </w:rPr>
        <w:t xml:space="preserve">are not generally brought under the Equal Status Acts to address </w:t>
      </w:r>
      <w:r w:rsidR="00FE3AAA" w:rsidRPr="007C4B78">
        <w:rPr>
          <w:rFonts w:asciiTheme="majorHAnsi" w:eastAsia="Calibri" w:hAnsiTheme="majorHAnsi"/>
        </w:rPr>
        <w:t>on the grounds of disability-based discrimination</w:t>
      </w:r>
      <w:r w:rsidR="0093124D" w:rsidRPr="007C4B78">
        <w:rPr>
          <w:rFonts w:asciiTheme="majorHAnsi" w:eastAsia="Calibri" w:hAnsiTheme="majorHAnsi"/>
        </w:rPr>
        <w:t>:</w:t>
      </w:r>
      <w:r w:rsidR="00FE3AAA" w:rsidRPr="007C4B78">
        <w:rPr>
          <w:rFonts w:asciiTheme="majorHAnsi" w:eastAsia="Calibri" w:hAnsiTheme="majorHAnsi"/>
        </w:rPr>
        <w:t xml:space="preserve"> </w:t>
      </w:r>
      <w:r w:rsidR="00C11389" w:rsidRPr="007C4B78">
        <w:t>“</w:t>
      </w:r>
      <w:r w:rsidR="0079141E" w:rsidRPr="007C4B78">
        <w:t>The mechanism and framework that was there is valuable, and in other countries has been enough,</w:t>
      </w:r>
      <w:r w:rsidR="00C11389" w:rsidRPr="007C4B78">
        <w:t xml:space="preserve"> but here it hasn’t been enough. T</w:t>
      </w:r>
      <w:r w:rsidR="0079141E" w:rsidRPr="007C4B78">
        <w:t>here are structural issues aside from</w:t>
      </w:r>
      <w:r w:rsidR="00C11389" w:rsidRPr="007C4B78">
        <w:t xml:space="preserve"> [the fact that]</w:t>
      </w:r>
      <w:r w:rsidR="0079141E" w:rsidRPr="007C4B78">
        <w:t xml:space="preserve"> lawyers aren’t using it</w:t>
      </w:r>
      <w:r w:rsidR="00C11389" w:rsidRPr="007C4B78">
        <w:rPr>
          <w:rStyle w:val="FootnoteReference"/>
          <w:rFonts w:asciiTheme="majorHAnsi" w:eastAsia="Calibri" w:hAnsiTheme="majorHAnsi"/>
        </w:rPr>
        <w:t>.</w:t>
      </w:r>
      <w:r w:rsidR="0093124D" w:rsidRPr="007C4B78">
        <w:rPr>
          <w:rFonts w:asciiTheme="majorHAnsi" w:eastAsia="Calibri" w:hAnsiTheme="majorHAnsi"/>
        </w:rPr>
        <w:t>.</w:t>
      </w:r>
      <w:r w:rsidR="00C11389" w:rsidRPr="007C4B78">
        <w:t>”</w:t>
      </w:r>
      <w:r w:rsidR="00F9763E" w:rsidRPr="007C4B78">
        <w:rPr>
          <w:rStyle w:val="FootnoteReference"/>
          <w:rFonts w:asciiTheme="majorHAnsi" w:eastAsia="Calibri" w:hAnsiTheme="majorHAnsi"/>
        </w:rPr>
        <w:footnoteReference w:id="19"/>
      </w:r>
    </w:p>
    <w:p w14:paraId="23759501" w14:textId="77777777" w:rsidR="00F9763E" w:rsidRPr="007C4B78" w:rsidRDefault="00D3057C" w:rsidP="004D12C3">
      <w:pPr>
        <w:pStyle w:val="Heading2"/>
        <w:jc w:val="both"/>
        <w:rPr>
          <w:rFonts w:asciiTheme="majorHAnsi" w:hAnsiTheme="majorHAnsi"/>
        </w:rPr>
      </w:pPr>
      <w:bookmarkStart w:id="14" w:name="_Toc417303141"/>
      <w:r w:rsidRPr="007C4B78">
        <w:rPr>
          <w:rFonts w:asciiTheme="majorHAnsi" w:hAnsiTheme="majorHAnsi"/>
        </w:rPr>
        <w:t>Policy Guidance on Children’s Rights</w:t>
      </w:r>
      <w:bookmarkEnd w:id="14"/>
    </w:p>
    <w:p w14:paraId="70E210DE" w14:textId="77777777" w:rsidR="00FD5932" w:rsidRPr="007C4B78" w:rsidRDefault="00D3057C"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t>The key national policy on c</w:t>
      </w:r>
      <w:r w:rsidR="00FE3AAA" w:rsidRPr="007C4B78">
        <w:rPr>
          <w:rFonts w:asciiTheme="majorHAnsi" w:hAnsiTheme="majorHAnsi"/>
        </w:rPr>
        <w:t>hild</w:t>
      </w:r>
      <w:r w:rsidRPr="007C4B78">
        <w:rPr>
          <w:rFonts w:asciiTheme="majorHAnsi" w:hAnsiTheme="majorHAnsi"/>
        </w:rPr>
        <w:t xml:space="preserve"> </w:t>
      </w:r>
      <w:r w:rsidR="00030FD8" w:rsidRPr="007C4B78">
        <w:rPr>
          <w:rFonts w:asciiTheme="majorHAnsi" w:hAnsiTheme="majorHAnsi"/>
        </w:rPr>
        <w:t xml:space="preserve">protection </w:t>
      </w:r>
      <w:r w:rsidRPr="007C4B78">
        <w:rPr>
          <w:rFonts w:asciiTheme="majorHAnsi" w:hAnsiTheme="majorHAnsi"/>
        </w:rPr>
        <w:t xml:space="preserve">in Ireland is the Children First Guidelines. </w:t>
      </w:r>
      <w:r w:rsidR="00FD5932" w:rsidRPr="007C4B78">
        <w:rPr>
          <w:rFonts w:asciiTheme="majorHAnsi" w:hAnsiTheme="majorHAnsi"/>
        </w:rPr>
        <w:t>The</w:t>
      </w:r>
      <w:r w:rsidRPr="007C4B78">
        <w:rPr>
          <w:rFonts w:asciiTheme="majorHAnsi" w:hAnsiTheme="majorHAnsi"/>
        </w:rPr>
        <w:t xml:space="preserve">se </w:t>
      </w:r>
      <w:r w:rsidR="00FD5932" w:rsidRPr="007C4B78">
        <w:rPr>
          <w:rFonts w:asciiTheme="majorHAnsi" w:hAnsiTheme="majorHAnsi"/>
        </w:rPr>
        <w:t xml:space="preserve">Guidelines </w:t>
      </w:r>
      <w:r w:rsidR="002342E9" w:rsidRPr="007C4B78">
        <w:rPr>
          <w:rFonts w:asciiTheme="majorHAnsi" w:hAnsiTheme="majorHAnsi"/>
        </w:rPr>
        <w:t xml:space="preserve">were first published </w:t>
      </w:r>
      <w:r w:rsidR="00FD5932" w:rsidRPr="007C4B78">
        <w:rPr>
          <w:rFonts w:asciiTheme="majorHAnsi" w:hAnsiTheme="majorHAnsi"/>
        </w:rPr>
        <w:t>in 1999</w:t>
      </w:r>
      <w:r w:rsidR="00FD5932" w:rsidRPr="007C4B78">
        <w:rPr>
          <w:rStyle w:val="FootnoteReference"/>
          <w:rFonts w:asciiTheme="majorHAnsi" w:hAnsiTheme="majorHAnsi"/>
        </w:rPr>
        <w:footnoteReference w:id="20"/>
      </w:r>
      <w:r w:rsidR="00FD5932" w:rsidRPr="007C4B78">
        <w:rPr>
          <w:rFonts w:asciiTheme="majorHAnsi" w:hAnsiTheme="majorHAnsi"/>
        </w:rPr>
        <w:t xml:space="preserve"> and set out the </w:t>
      </w:r>
      <w:proofErr w:type="gramStart"/>
      <w:r w:rsidR="00030FD8" w:rsidRPr="007C4B78">
        <w:rPr>
          <w:rFonts w:asciiTheme="majorHAnsi" w:hAnsiTheme="majorHAnsi"/>
        </w:rPr>
        <w:lastRenderedPageBreak/>
        <w:t xml:space="preserve">guidance </w:t>
      </w:r>
      <w:r w:rsidR="00FD5932" w:rsidRPr="007C4B78">
        <w:rPr>
          <w:rFonts w:asciiTheme="majorHAnsi" w:hAnsiTheme="majorHAnsi"/>
        </w:rPr>
        <w:t xml:space="preserve"> </w:t>
      </w:r>
      <w:r w:rsidR="00030FD8" w:rsidRPr="007C4B78">
        <w:rPr>
          <w:rFonts w:asciiTheme="majorHAnsi" w:hAnsiTheme="majorHAnsi"/>
        </w:rPr>
        <w:t>for</w:t>
      </w:r>
      <w:proofErr w:type="gramEnd"/>
      <w:r w:rsidR="00030FD8" w:rsidRPr="007C4B78">
        <w:rPr>
          <w:rFonts w:asciiTheme="majorHAnsi" w:hAnsiTheme="majorHAnsi"/>
        </w:rPr>
        <w:t xml:space="preserve"> </w:t>
      </w:r>
      <w:r w:rsidR="00FD5932" w:rsidRPr="007C4B78">
        <w:rPr>
          <w:rFonts w:asciiTheme="majorHAnsi" w:hAnsiTheme="majorHAnsi"/>
        </w:rPr>
        <w:t>various government agencies with regard to child safety and welfare concerns.</w:t>
      </w:r>
      <w:r w:rsidR="00FD5932" w:rsidRPr="007C4B78">
        <w:rPr>
          <w:rStyle w:val="FootnoteReference"/>
          <w:rFonts w:asciiTheme="majorHAnsi" w:hAnsiTheme="majorHAnsi"/>
        </w:rPr>
        <w:footnoteReference w:id="21"/>
      </w:r>
    </w:p>
    <w:p w14:paraId="2BADF5C2" w14:textId="77777777" w:rsidR="00FD5932" w:rsidRPr="007C4B78" w:rsidRDefault="00FD5932" w:rsidP="004D12C3">
      <w:pPr>
        <w:pStyle w:val="task"/>
        <w:tabs>
          <w:tab w:val="clear" w:pos="680"/>
          <w:tab w:val="left" w:pos="0"/>
        </w:tabs>
        <w:ind w:left="0" w:firstLine="0"/>
        <w:jc w:val="both"/>
        <w:rPr>
          <w:rFonts w:asciiTheme="majorHAnsi" w:hAnsiTheme="majorHAnsi"/>
        </w:rPr>
      </w:pPr>
    </w:p>
    <w:p w14:paraId="4BB9D689" w14:textId="77777777" w:rsidR="00AF034A" w:rsidRPr="007C4B78" w:rsidRDefault="00FD5932"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t>One of the guiding principl</w:t>
      </w:r>
      <w:r w:rsidR="00A131DF" w:rsidRPr="007C4B78">
        <w:rPr>
          <w:rFonts w:asciiTheme="majorHAnsi" w:hAnsiTheme="majorHAnsi"/>
        </w:rPr>
        <w:t>e</w:t>
      </w:r>
      <w:r w:rsidRPr="007C4B78">
        <w:rPr>
          <w:rFonts w:asciiTheme="majorHAnsi" w:hAnsiTheme="majorHAnsi"/>
        </w:rPr>
        <w:t>s of the</w:t>
      </w:r>
      <w:r w:rsidR="0088524C" w:rsidRPr="007C4B78">
        <w:rPr>
          <w:rFonts w:asciiTheme="majorHAnsi" w:hAnsiTheme="majorHAnsi"/>
        </w:rPr>
        <w:t xml:space="preserve">se </w:t>
      </w:r>
      <w:r w:rsidRPr="007C4B78">
        <w:rPr>
          <w:rFonts w:asciiTheme="majorHAnsi" w:hAnsiTheme="majorHAnsi"/>
        </w:rPr>
        <w:t xml:space="preserve">Guidelines is </w:t>
      </w:r>
      <w:r w:rsidR="00A131DF" w:rsidRPr="007C4B78">
        <w:rPr>
          <w:rFonts w:asciiTheme="majorHAnsi" w:hAnsiTheme="majorHAnsi"/>
        </w:rPr>
        <w:t xml:space="preserve">that </w:t>
      </w:r>
      <w:r w:rsidRPr="007C4B78">
        <w:rPr>
          <w:rFonts w:asciiTheme="majorHAnsi" w:hAnsiTheme="majorHAnsi"/>
        </w:rPr>
        <w:t xml:space="preserve">“Children have a right to be heard, listened to and </w:t>
      </w:r>
      <w:r w:rsidR="00A131DF" w:rsidRPr="007C4B78">
        <w:rPr>
          <w:rFonts w:asciiTheme="majorHAnsi" w:hAnsiTheme="majorHAnsi"/>
        </w:rPr>
        <w:t xml:space="preserve">taken </w:t>
      </w:r>
      <w:r w:rsidRPr="007C4B78">
        <w:rPr>
          <w:rFonts w:asciiTheme="majorHAnsi" w:hAnsiTheme="majorHAnsi"/>
        </w:rPr>
        <w:t>seriously.”</w:t>
      </w:r>
      <w:r w:rsidRPr="007C4B78">
        <w:rPr>
          <w:rStyle w:val="FootnoteReference"/>
          <w:rFonts w:asciiTheme="majorHAnsi" w:hAnsiTheme="majorHAnsi"/>
        </w:rPr>
        <w:footnoteReference w:id="22"/>
      </w:r>
      <w:r w:rsidRPr="007C4B78">
        <w:rPr>
          <w:rFonts w:asciiTheme="majorHAnsi" w:hAnsiTheme="majorHAnsi"/>
        </w:rPr>
        <w:t xml:space="preserve"> A survey of compliance </w:t>
      </w:r>
      <w:r w:rsidR="00D3057C" w:rsidRPr="007C4B78">
        <w:rPr>
          <w:rFonts w:asciiTheme="majorHAnsi" w:hAnsiTheme="majorHAnsi"/>
        </w:rPr>
        <w:t xml:space="preserve">with </w:t>
      </w:r>
      <w:r w:rsidRPr="007C4B78">
        <w:rPr>
          <w:rFonts w:asciiTheme="majorHAnsi" w:hAnsiTheme="majorHAnsi"/>
        </w:rPr>
        <w:t>Children First found that less than half of the respondents surveyed felt that this principl</w:t>
      </w:r>
      <w:r w:rsidR="00D3057C" w:rsidRPr="007C4B78">
        <w:rPr>
          <w:rFonts w:asciiTheme="majorHAnsi" w:hAnsiTheme="majorHAnsi"/>
        </w:rPr>
        <w:t>e</w:t>
      </w:r>
      <w:r w:rsidRPr="007C4B78">
        <w:rPr>
          <w:rFonts w:asciiTheme="majorHAnsi" w:hAnsiTheme="majorHAnsi"/>
        </w:rPr>
        <w:t xml:space="preserve"> was usually or always adhered to.</w:t>
      </w:r>
      <w:r w:rsidRPr="007C4B78">
        <w:rPr>
          <w:rStyle w:val="FootnoteReference"/>
          <w:rFonts w:asciiTheme="majorHAnsi" w:hAnsiTheme="majorHAnsi"/>
        </w:rPr>
        <w:footnoteReference w:id="23"/>
      </w:r>
      <w:r w:rsidRPr="007C4B78">
        <w:rPr>
          <w:rFonts w:asciiTheme="majorHAnsi" w:hAnsiTheme="majorHAnsi"/>
        </w:rPr>
        <w:t xml:space="preserve"> The respondents pointed to “inconsistencies in children’s participation in case conferences” as an example of this failing.</w:t>
      </w:r>
      <w:r w:rsidRPr="007C4B78">
        <w:rPr>
          <w:rStyle w:val="FootnoteReference"/>
          <w:rFonts w:asciiTheme="majorHAnsi" w:hAnsiTheme="majorHAnsi"/>
        </w:rPr>
        <w:footnoteReference w:id="24"/>
      </w:r>
      <w:r w:rsidRPr="007C4B78">
        <w:rPr>
          <w:rFonts w:asciiTheme="majorHAnsi" w:hAnsiTheme="majorHAnsi"/>
        </w:rPr>
        <w:t>Some academics have also pointed out the lack of widespread compliance with Children First.</w:t>
      </w:r>
      <w:r w:rsidRPr="007C4B78">
        <w:rPr>
          <w:rStyle w:val="FootnoteReference"/>
          <w:rFonts w:asciiTheme="majorHAnsi" w:hAnsiTheme="majorHAnsi"/>
        </w:rPr>
        <w:footnoteReference w:id="25"/>
      </w:r>
      <w:r w:rsidR="000C756C" w:rsidRPr="007C4B78">
        <w:rPr>
          <w:rFonts w:asciiTheme="majorHAnsi" w:hAnsiTheme="majorHAnsi"/>
        </w:rPr>
        <w:t xml:space="preserve"> </w:t>
      </w:r>
      <w:r w:rsidRPr="007C4B78">
        <w:rPr>
          <w:rFonts w:asciiTheme="majorHAnsi" w:hAnsiTheme="majorHAnsi"/>
        </w:rPr>
        <w:t>Kilkelly states that “there is ample evidence to suggest that the Children First Guidelines are not being implemented adequately or consistently” referring specifically to the lack of reporting of child abuse by professionals.</w:t>
      </w:r>
      <w:r w:rsidRPr="007C4B78">
        <w:rPr>
          <w:rStyle w:val="FootnoteReference"/>
          <w:rFonts w:asciiTheme="majorHAnsi" w:hAnsiTheme="majorHAnsi"/>
        </w:rPr>
        <w:footnoteReference w:id="26"/>
      </w:r>
    </w:p>
    <w:p w14:paraId="3368356A" w14:textId="77777777" w:rsidR="00D32AAB" w:rsidRPr="007C4B78" w:rsidRDefault="00D32AAB" w:rsidP="004D12C3">
      <w:pPr>
        <w:pStyle w:val="task"/>
        <w:tabs>
          <w:tab w:val="clear" w:pos="680"/>
          <w:tab w:val="left" w:pos="0"/>
        </w:tabs>
        <w:ind w:left="0" w:firstLine="0"/>
        <w:jc w:val="both"/>
        <w:rPr>
          <w:rFonts w:asciiTheme="majorHAnsi" w:hAnsiTheme="majorHAnsi"/>
        </w:rPr>
      </w:pPr>
    </w:p>
    <w:p w14:paraId="3FD5EFB6" w14:textId="77777777" w:rsidR="00D32AAB" w:rsidRPr="007C4B78" w:rsidRDefault="00D32AAB" w:rsidP="004D12C3">
      <w:pPr>
        <w:jc w:val="both"/>
        <w:rPr>
          <w:rFonts w:asciiTheme="majorHAnsi" w:hAnsiTheme="majorHAnsi"/>
        </w:rPr>
      </w:pPr>
      <w:r w:rsidRPr="007C4B78">
        <w:rPr>
          <w:rFonts w:asciiTheme="majorHAnsi" w:hAnsiTheme="majorHAnsi"/>
        </w:rPr>
        <w:t xml:space="preserve">In 2014 the Minister for Children and Youth Affairs introduced </w:t>
      </w:r>
      <w:proofErr w:type="gramStart"/>
      <w:r w:rsidRPr="007C4B78">
        <w:rPr>
          <w:rFonts w:asciiTheme="majorHAnsi" w:hAnsiTheme="majorHAnsi"/>
          <w:i/>
        </w:rPr>
        <w:t>Better</w:t>
      </w:r>
      <w:proofErr w:type="gramEnd"/>
      <w:r w:rsidRPr="007C4B78">
        <w:rPr>
          <w:rFonts w:asciiTheme="majorHAnsi" w:hAnsiTheme="majorHAnsi"/>
          <w:i/>
        </w:rPr>
        <w:t xml:space="preserve"> Outcomes, Better Futures</w:t>
      </w:r>
      <w:r w:rsidRPr="007C4B78">
        <w:rPr>
          <w:rFonts w:asciiTheme="majorHAnsi" w:hAnsiTheme="majorHAnsi"/>
        </w:rPr>
        <w:t>, a policy report which sets the Government objectives for children and young people in Ireland. The report and policies included recommendations related to children with cognitive d</w:t>
      </w:r>
      <w:r w:rsidR="0093124D" w:rsidRPr="007C4B78">
        <w:rPr>
          <w:rFonts w:asciiTheme="majorHAnsi" w:hAnsiTheme="majorHAnsi"/>
        </w:rPr>
        <w:t>isabilities. The report recognis</w:t>
      </w:r>
      <w:r w:rsidRPr="007C4B78">
        <w:rPr>
          <w:rFonts w:asciiTheme="majorHAnsi" w:hAnsiTheme="majorHAnsi"/>
        </w:rPr>
        <w:t>ed the need of the Government to support effective transitions especially for children with special needs or a disability.</w:t>
      </w:r>
      <w:r w:rsidRPr="007C4B78">
        <w:rPr>
          <w:rStyle w:val="FootnoteReference"/>
          <w:rFonts w:asciiTheme="majorHAnsi" w:hAnsiTheme="majorHAnsi"/>
        </w:rPr>
        <w:footnoteReference w:id="27"/>
      </w:r>
      <w:r w:rsidR="0093124D" w:rsidRPr="007C4B78">
        <w:rPr>
          <w:rFonts w:asciiTheme="majorHAnsi" w:hAnsiTheme="majorHAnsi"/>
        </w:rPr>
        <w:t xml:space="preserve"> The report also recognis</w:t>
      </w:r>
      <w:r w:rsidRPr="007C4B78">
        <w:rPr>
          <w:rFonts w:asciiTheme="majorHAnsi" w:hAnsiTheme="majorHAnsi"/>
        </w:rPr>
        <w:t>ed the importance of timely assessment and equity of access to appropriate disability services.</w:t>
      </w:r>
      <w:r w:rsidRPr="007C4B78">
        <w:rPr>
          <w:rStyle w:val="FootnoteReference"/>
          <w:rFonts w:asciiTheme="majorHAnsi" w:hAnsiTheme="majorHAnsi"/>
        </w:rPr>
        <w:footnoteReference w:id="28"/>
      </w:r>
    </w:p>
    <w:p w14:paraId="0D59E88B" w14:textId="77777777" w:rsidR="00D32AAB" w:rsidRPr="007C4B78" w:rsidRDefault="00D32AAB" w:rsidP="004D12C3">
      <w:pPr>
        <w:pStyle w:val="task"/>
        <w:tabs>
          <w:tab w:val="clear" w:pos="680"/>
          <w:tab w:val="left" w:pos="0"/>
        </w:tabs>
        <w:ind w:left="0" w:firstLine="0"/>
        <w:jc w:val="both"/>
        <w:rPr>
          <w:rFonts w:asciiTheme="majorHAnsi" w:hAnsiTheme="majorHAnsi"/>
        </w:rPr>
      </w:pPr>
    </w:p>
    <w:p w14:paraId="4D3AE4A7" w14:textId="77777777" w:rsidR="00A30B91" w:rsidRPr="007C4B78" w:rsidRDefault="00A30B91" w:rsidP="004D12C3">
      <w:pPr>
        <w:pStyle w:val="Heading2"/>
        <w:jc w:val="both"/>
        <w:rPr>
          <w:rFonts w:asciiTheme="majorHAnsi" w:hAnsiTheme="majorHAnsi"/>
        </w:rPr>
      </w:pPr>
      <w:bookmarkStart w:id="15" w:name="_Toc417303142"/>
      <w:r w:rsidRPr="007C4B78">
        <w:rPr>
          <w:rFonts w:asciiTheme="majorHAnsi" w:hAnsiTheme="majorHAnsi"/>
        </w:rPr>
        <w:t>New and On-going Developments</w:t>
      </w:r>
      <w:bookmarkEnd w:id="15"/>
    </w:p>
    <w:p w14:paraId="6762B16F" w14:textId="77777777" w:rsidR="004A2BB6" w:rsidRPr="007C4B78" w:rsidRDefault="00A30B91" w:rsidP="004D12C3">
      <w:pPr>
        <w:jc w:val="both"/>
        <w:rPr>
          <w:rFonts w:asciiTheme="majorHAnsi" w:hAnsiTheme="majorHAnsi"/>
        </w:rPr>
      </w:pPr>
      <w:r w:rsidRPr="007C4B78">
        <w:rPr>
          <w:rFonts w:asciiTheme="majorHAnsi" w:hAnsiTheme="majorHAnsi"/>
        </w:rPr>
        <w:t xml:space="preserve">This project began in May 2013 and since the project began there have been several new developments that may impact on how children with </w:t>
      </w:r>
      <w:r w:rsidR="00CF0F5B" w:rsidRPr="007C4B78">
        <w:rPr>
          <w:rFonts w:asciiTheme="majorHAnsi" w:hAnsiTheme="majorHAnsi"/>
        </w:rPr>
        <w:t>cognitive</w:t>
      </w:r>
      <w:r w:rsidRPr="007C4B78">
        <w:rPr>
          <w:rFonts w:asciiTheme="majorHAnsi" w:hAnsiTheme="majorHAnsi"/>
        </w:rPr>
        <w:t xml:space="preserve"> disabilities access justice in the future.</w:t>
      </w:r>
      <w:r w:rsidR="001F4FDF" w:rsidRPr="007C4B78">
        <w:rPr>
          <w:rFonts w:asciiTheme="majorHAnsi" w:hAnsiTheme="majorHAnsi"/>
        </w:rPr>
        <w:t xml:space="preserve"> The key developments</w:t>
      </w:r>
      <w:r w:rsidR="00A81A78" w:rsidRPr="007C4B78">
        <w:rPr>
          <w:rFonts w:asciiTheme="majorHAnsi" w:hAnsiTheme="majorHAnsi"/>
        </w:rPr>
        <w:t xml:space="preserve">, such as the Children’s Rights Amendment to the Constitution, </w:t>
      </w:r>
      <w:r w:rsidR="00730520" w:rsidRPr="007C4B78">
        <w:rPr>
          <w:rFonts w:asciiTheme="majorHAnsi" w:hAnsiTheme="majorHAnsi"/>
        </w:rPr>
        <w:t xml:space="preserve">the establishment of </w:t>
      </w:r>
      <w:r w:rsidR="00A81A78" w:rsidRPr="007C4B78">
        <w:rPr>
          <w:rFonts w:asciiTheme="majorHAnsi" w:hAnsiTheme="majorHAnsi"/>
        </w:rPr>
        <w:t>Tusla</w:t>
      </w:r>
      <w:r w:rsidR="00730520" w:rsidRPr="007C4B78">
        <w:rPr>
          <w:rFonts w:asciiTheme="majorHAnsi" w:hAnsiTheme="majorHAnsi"/>
        </w:rPr>
        <w:t xml:space="preserve"> (the Child and Family Agency)</w:t>
      </w:r>
      <w:r w:rsidR="00A81A78" w:rsidRPr="007C4B78">
        <w:rPr>
          <w:rFonts w:asciiTheme="majorHAnsi" w:hAnsiTheme="majorHAnsi"/>
        </w:rPr>
        <w:t>, the Child</w:t>
      </w:r>
      <w:r w:rsidR="00D32AAB" w:rsidRPr="007C4B78">
        <w:rPr>
          <w:rFonts w:asciiTheme="majorHAnsi" w:hAnsiTheme="majorHAnsi"/>
        </w:rPr>
        <w:t>ren</w:t>
      </w:r>
      <w:r w:rsidR="00A81A78" w:rsidRPr="007C4B78">
        <w:rPr>
          <w:rFonts w:asciiTheme="majorHAnsi" w:hAnsiTheme="majorHAnsi"/>
        </w:rPr>
        <w:t xml:space="preserve"> and Family Relationships Act</w:t>
      </w:r>
      <w:r w:rsidR="000C756C" w:rsidRPr="007C4B78">
        <w:rPr>
          <w:rFonts w:asciiTheme="majorHAnsi" w:hAnsiTheme="majorHAnsi"/>
        </w:rPr>
        <w:t xml:space="preserve"> </w:t>
      </w:r>
      <w:r w:rsidR="00730520" w:rsidRPr="007C4B78">
        <w:rPr>
          <w:rFonts w:asciiTheme="majorHAnsi" w:hAnsiTheme="majorHAnsi"/>
        </w:rPr>
        <w:t xml:space="preserve">2015 </w:t>
      </w:r>
      <w:r w:rsidR="001F4FDF" w:rsidRPr="007C4B78">
        <w:rPr>
          <w:rFonts w:asciiTheme="majorHAnsi" w:hAnsiTheme="majorHAnsi"/>
        </w:rPr>
        <w:t>are worth setting out in brief</w:t>
      </w:r>
      <w:r w:rsidR="00A81A78" w:rsidRPr="007C4B78">
        <w:rPr>
          <w:rFonts w:asciiTheme="majorHAnsi" w:hAnsiTheme="majorHAnsi"/>
        </w:rPr>
        <w:t xml:space="preserve"> here as they provide context for children with disabilities’ opportunities to access justice in Ireland.</w:t>
      </w:r>
    </w:p>
    <w:p w14:paraId="503DD633" w14:textId="77777777" w:rsidR="0057650F" w:rsidRPr="007C4B78" w:rsidRDefault="0057650F" w:rsidP="004D12C3">
      <w:pPr>
        <w:pStyle w:val="Heading3"/>
        <w:jc w:val="both"/>
      </w:pPr>
      <w:bookmarkStart w:id="16" w:name="_Toc417303143"/>
      <w:r w:rsidRPr="007C4B78">
        <w:lastRenderedPageBreak/>
        <w:t>Children’s Rights Amendment/31</w:t>
      </w:r>
      <w:r w:rsidRPr="007C4B78">
        <w:rPr>
          <w:vertAlign w:val="superscript"/>
        </w:rPr>
        <w:t>st</w:t>
      </w:r>
      <w:r w:rsidRPr="007C4B78">
        <w:t xml:space="preserve"> Amendment</w:t>
      </w:r>
      <w:bookmarkEnd w:id="16"/>
    </w:p>
    <w:p w14:paraId="6F4F4B6D" w14:textId="77777777" w:rsidR="00F56986" w:rsidRPr="007C4B78" w:rsidRDefault="00F56986" w:rsidP="004D12C3">
      <w:pPr>
        <w:pStyle w:val="task"/>
        <w:ind w:left="0" w:firstLine="0"/>
        <w:jc w:val="both"/>
        <w:rPr>
          <w:rFonts w:asciiTheme="majorHAnsi" w:hAnsiTheme="majorHAnsi"/>
        </w:rPr>
      </w:pPr>
      <w:r w:rsidRPr="007C4B78">
        <w:rPr>
          <w:rFonts w:asciiTheme="majorHAnsi" w:hAnsiTheme="majorHAnsi"/>
        </w:rPr>
        <w:t xml:space="preserve">Children’s rights </w:t>
      </w:r>
      <w:r w:rsidR="00FE75D4" w:rsidRPr="007C4B78">
        <w:rPr>
          <w:rFonts w:asciiTheme="majorHAnsi" w:hAnsiTheme="majorHAnsi"/>
        </w:rPr>
        <w:t>may</w:t>
      </w:r>
      <w:r w:rsidRPr="007C4B78">
        <w:rPr>
          <w:rFonts w:asciiTheme="majorHAnsi" w:hAnsiTheme="majorHAnsi"/>
        </w:rPr>
        <w:t xml:space="preserve"> be strengthened through the new 31</w:t>
      </w:r>
      <w:r w:rsidRPr="007C4B78">
        <w:rPr>
          <w:rFonts w:asciiTheme="majorHAnsi" w:hAnsiTheme="majorHAnsi"/>
          <w:vertAlign w:val="superscript"/>
        </w:rPr>
        <w:t>st</w:t>
      </w:r>
      <w:r w:rsidRPr="007C4B78">
        <w:rPr>
          <w:rFonts w:asciiTheme="majorHAnsi" w:hAnsiTheme="majorHAnsi"/>
        </w:rPr>
        <w:t xml:space="preserve"> amendment to the </w:t>
      </w:r>
      <w:r w:rsidR="00464197" w:rsidRPr="007C4B78">
        <w:rPr>
          <w:rFonts w:asciiTheme="majorHAnsi" w:hAnsiTheme="majorHAnsi"/>
        </w:rPr>
        <w:t>constitution, which</w:t>
      </w:r>
      <w:r w:rsidRPr="007C4B78">
        <w:rPr>
          <w:rFonts w:asciiTheme="majorHAnsi" w:hAnsiTheme="majorHAnsi"/>
        </w:rPr>
        <w:t xml:space="preserve"> adds </w:t>
      </w:r>
      <w:r w:rsidR="007B6962" w:rsidRPr="007C4B78">
        <w:rPr>
          <w:rFonts w:asciiTheme="majorHAnsi" w:hAnsiTheme="majorHAnsi"/>
        </w:rPr>
        <w:t>an explicit</w:t>
      </w:r>
      <w:r w:rsidRPr="007C4B78">
        <w:rPr>
          <w:rFonts w:asciiTheme="majorHAnsi" w:hAnsiTheme="majorHAnsi"/>
        </w:rPr>
        <w:t xml:space="preserve"> recognition of the rights of children</w:t>
      </w:r>
      <w:r w:rsidR="007B6962" w:rsidRPr="007C4B78">
        <w:rPr>
          <w:rFonts w:asciiTheme="majorHAnsi" w:hAnsiTheme="majorHAnsi"/>
        </w:rPr>
        <w:t xml:space="preserve"> to the text of Article 42</w:t>
      </w:r>
      <w:r w:rsidRPr="007C4B78">
        <w:rPr>
          <w:rFonts w:asciiTheme="majorHAnsi" w:hAnsiTheme="majorHAnsi"/>
        </w:rPr>
        <w:t>. The 31</w:t>
      </w:r>
      <w:r w:rsidRPr="007C4B78">
        <w:rPr>
          <w:rFonts w:asciiTheme="majorHAnsi" w:hAnsiTheme="majorHAnsi"/>
          <w:vertAlign w:val="superscript"/>
        </w:rPr>
        <w:t>st</w:t>
      </w:r>
      <w:r w:rsidRPr="007C4B78">
        <w:rPr>
          <w:rFonts w:asciiTheme="majorHAnsi" w:hAnsiTheme="majorHAnsi"/>
        </w:rPr>
        <w:t xml:space="preserve"> amendment, passed by </w:t>
      </w:r>
      <w:r w:rsidR="007B6962" w:rsidRPr="007C4B78">
        <w:rPr>
          <w:rFonts w:asciiTheme="majorHAnsi" w:hAnsiTheme="majorHAnsi"/>
        </w:rPr>
        <w:t>referendum</w:t>
      </w:r>
      <w:r w:rsidRPr="007C4B78">
        <w:rPr>
          <w:rFonts w:asciiTheme="majorHAnsi" w:hAnsiTheme="majorHAnsi"/>
        </w:rPr>
        <w:t xml:space="preserve"> and the Oireachtas in 2012, amends Article 42 to better protect the rights of children. The amendment asserts, “The State recognises and affirms the natural and </w:t>
      </w:r>
      <w:r w:rsidR="004F0E54" w:rsidRPr="007C4B78">
        <w:rPr>
          <w:rFonts w:asciiTheme="majorHAnsi" w:hAnsiTheme="majorHAnsi"/>
        </w:rPr>
        <w:t>imperceptible</w:t>
      </w:r>
      <w:r w:rsidRPr="007C4B78">
        <w:rPr>
          <w:rFonts w:asciiTheme="majorHAnsi" w:hAnsiTheme="majorHAnsi"/>
        </w:rPr>
        <w:t>rights of all children and shall, as far as practicable, by its laws protect and vindicate those rights.”</w:t>
      </w:r>
      <w:r w:rsidRPr="007C4B78">
        <w:rPr>
          <w:rStyle w:val="FootnoteReference"/>
          <w:rFonts w:asciiTheme="majorHAnsi" w:hAnsiTheme="majorHAnsi"/>
        </w:rPr>
        <w:footnoteReference w:id="29"/>
      </w:r>
      <w:r w:rsidRPr="007C4B78">
        <w:rPr>
          <w:rFonts w:asciiTheme="majorHAnsi" w:hAnsiTheme="majorHAnsi"/>
        </w:rPr>
        <w:t xml:space="preserve"> The amendment </w:t>
      </w:r>
      <w:r w:rsidR="007B6962" w:rsidRPr="007C4B78">
        <w:rPr>
          <w:rFonts w:asciiTheme="majorHAnsi" w:hAnsiTheme="majorHAnsi"/>
        </w:rPr>
        <w:t>retains a</w:t>
      </w:r>
      <w:r w:rsidRPr="007C4B78">
        <w:rPr>
          <w:rFonts w:asciiTheme="majorHAnsi" w:hAnsiTheme="majorHAnsi"/>
        </w:rPr>
        <w:t xml:space="preserve"> best interest approach but emphasises a “due regard for the natural and imprescriptible rights of the child”.</w:t>
      </w:r>
      <w:r w:rsidRPr="007C4B78">
        <w:rPr>
          <w:rStyle w:val="FootnoteReference"/>
          <w:rFonts w:asciiTheme="majorHAnsi" w:hAnsiTheme="majorHAnsi"/>
        </w:rPr>
        <w:footnoteReference w:id="30"/>
      </w:r>
    </w:p>
    <w:p w14:paraId="500D79D3" w14:textId="77777777" w:rsidR="00F56986" w:rsidRPr="007C4B78" w:rsidRDefault="00F56986" w:rsidP="004D12C3">
      <w:pPr>
        <w:pStyle w:val="task"/>
        <w:ind w:left="0" w:firstLine="0"/>
        <w:jc w:val="both"/>
        <w:rPr>
          <w:rFonts w:asciiTheme="majorHAnsi" w:hAnsiTheme="majorHAnsi"/>
        </w:rPr>
      </w:pPr>
    </w:p>
    <w:p w14:paraId="30077CC7" w14:textId="77777777" w:rsidR="00F56986" w:rsidRPr="007C4B78" w:rsidRDefault="00F56986" w:rsidP="004D12C3">
      <w:pPr>
        <w:pStyle w:val="task"/>
        <w:ind w:left="0" w:firstLine="0"/>
        <w:jc w:val="both"/>
        <w:rPr>
          <w:rFonts w:asciiTheme="majorHAnsi" w:hAnsiTheme="majorHAnsi"/>
        </w:rPr>
      </w:pPr>
      <w:r w:rsidRPr="007C4B78">
        <w:rPr>
          <w:rFonts w:asciiTheme="majorHAnsi" w:hAnsiTheme="majorHAnsi"/>
        </w:rPr>
        <w:t>The amendment also requires that for all proceedings brought by the state for the safety and welfare of child that legal provisions are made to ensure the respect of the views of the child.</w:t>
      </w:r>
      <w:r w:rsidRPr="007C4B78">
        <w:rPr>
          <w:rStyle w:val="FootnoteReference"/>
          <w:rFonts w:asciiTheme="majorHAnsi" w:hAnsiTheme="majorHAnsi"/>
        </w:rPr>
        <w:footnoteReference w:id="31"/>
      </w:r>
      <w:r w:rsidRPr="007C4B78">
        <w:rPr>
          <w:rFonts w:asciiTheme="majorHAnsi" w:hAnsiTheme="majorHAnsi"/>
        </w:rPr>
        <w:t xml:space="preserve">  It should be noted that this provision first states that the opportunity to be heard should be granted to “any child who is capable of forming his or her own view.”  It is not</w:t>
      </w:r>
      <w:r w:rsidR="00215071" w:rsidRPr="007C4B78">
        <w:rPr>
          <w:rFonts w:asciiTheme="majorHAnsi" w:hAnsiTheme="majorHAnsi"/>
        </w:rPr>
        <w:t xml:space="preserve"> yet</w:t>
      </w:r>
      <w:r w:rsidRPr="007C4B78">
        <w:rPr>
          <w:rFonts w:asciiTheme="majorHAnsi" w:hAnsiTheme="majorHAnsi"/>
        </w:rPr>
        <w:t xml:space="preserve"> clear </w:t>
      </w:r>
      <w:r w:rsidR="00215071" w:rsidRPr="007C4B78">
        <w:rPr>
          <w:rFonts w:asciiTheme="majorHAnsi" w:hAnsiTheme="majorHAnsi"/>
        </w:rPr>
        <w:t>how this provision might apply</w:t>
      </w:r>
      <w:r w:rsidRPr="007C4B78">
        <w:rPr>
          <w:rFonts w:asciiTheme="majorHAnsi" w:hAnsiTheme="majorHAnsi"/>
        </w:rPr>
        <w:t xml:space="preserve"> to children with </w:t>
      </w:r>
      <w:r w:rsidR="00CF0F5B" w:rsidRPr="007C4B78">
        <w:rPr>
          <w:rFonts w:asciiTheme="majorHAnsi" w:hAnsiTheme="majorHAnsi"/>
        </w:rPr>
        <w:t>cognitive</w:t>
      </w:r>
      <w:r w:rsidRPr="007C4B78">
        <w:rPr>
          <w:rFonts w:asciiTheme="majorHAnsi" w:hAnsiTheme="majorHAnsi"/>
        </w:rPr>
        <w:t xml:space="preserve"> disabilities</w:t>
      </w:r>
      <w:r w:rsidR="00FE75D4" w:rsidRPr="007C4B78">
        <w:rPr>
          <w:rFonts w:asciiTheme="majorHAnsi" w:hAnsiTheme="majorHAnsi"/>
        </w:rPr>
        <w:t xml:space="preserve"> who may be viewed as not capable of forming a view</w:t>
      </w:r>
      <w:r w:rsidRPr="007C4B78">
        <w:rPr>
          <w:rFonts w:asciiTheme="majorHAnsi" w:hAnsiTheme="majorHAnsi"/>
        </w:rPr>
        <w:t xml:space="preserve">. </w:t>
      </w:r>
      <w:r w:rsidR="00030FD8" w:rsidRPr="007C4B78">
        <w:rPr>
          <w:rFonts w:asciiTheme="majorHAnsi" w:hAnsiTheme="majorHAnsi"/>
        </w:rPr>
        <w:t>This amendment would also only apply to care and guardianship proceedings</w:t>
      </w:r>
      <w:r w:rsidR="00BC1129" w:rsidRPr="007C4B78">
        <w:rPr>
          <w:rFonts w:asciiTheme="majorHAnsi" w:hAnsiTheme="majorHAnsi"/>
        </w:rPr>
        <w:t>.</w:t>
      </w:r>
    </w:p>
    <w:p w14:paraId="2A4AB210" w14:textId="77777777" w:rsidR="00F56986" w:rsidRPr="007C4B78" w:rsidRDefault="00F56986" w:rsidP="004D12C3">
      <w:pPr>
        <w:pStyle w:val="task"/>
        <w:ind w:left="0" w:firstLine="0"/>
        <w:jc w:val="both"/>
        <w:rPr>
          <w:rFonts w:asciiTheme="majorHAnsi" w:hAnsiTheme="majorHAnsi"/>
        </w:rPr>
      </w:pPr>
    </w:p>
    <w:p w14:paraId="0E9DEC81" w14:textId="77777777" w:rsidR="00F56986" w:rsidRPr="007C4B78" w:rsidRDefault="00030FD8" w:rsidP="004D12C3">
      <w:pPr>
        <w:jc w:val="both"/>
        <w:rPr>
          <w:rFonts w:asciiTheme="majorHAnsi" w:eastAsia="Calibri" w:hAnsiTheme="majorHAnsi"/>
        </w:rPr>
      </w:pPr>
      <w:r w:rsidRPr="007C4B78">
        <w:rPr>
          <w:rFonts w:asciiTheme="majorHAnsi" w:eastAsia="Calibri" w:hAnsiTheme="majorHAnsi"/>
        </w:rPr>
        <w:t xml:space="preserve">There </w:t>
      </w:r>
      <w:r w:rsidR="00F56986" w:rsidRPr="007C4B78">
        <w:rPr>
          <w:rFonts w:asciiTheme="majorHAnsi" w:eastAsia="Calibri" w:hAnsiTheme="majorHAnsi"/>
        </w:rPr>
        <w:t xml:space="preserve">has been a challenge to the legality of the </w:t>
      </w:r>
      <w:r w:rsidR="005E2E7D" w:rsidRPr="007C4B78">
        <w:rPr>
          <w:rFonts w:asciiTheme="majorHAnsi" w:eastAsia="Calibri" w:hAnsiTheme="majorHAnsi"/>
        </w:rPr>
        <w:t xml:space="preserve">process </w:t>
      </w:r>
      <w:r w:rsidR="00F56986" w:rsidRPr="007C4B78">
        <w:rPr>
          <w:rFonts w:asciiTheme="majorHAnsi" w:eastAsia="Calibri" w:hAnsiTheme="majorHAnsi"/>
        </w:rPr>
        <w:t>that saw the passage of the children’s rights referendum</w:t>
      </w:r>
      <w:r w:rsidR="005E2E7D" w:rsidRPr="007C4B78">
        <w:rPr>
          <w:rFonts w:asciiTheme="majorHAnsi" w:eastAsia="Calibri" w:hAnsiTheme="majorHAnsi"/>
        </w:rPr>
        <w:t>. This challenge was unsucce</w:t>
      </w:r>
      <w:r w:rsidR="0079141E" w:rsidRPr="007C4B78">
        <w:rPr>
          <w:rFonts w:asciiTheme="majorHAnsi" w:eastAsia="Calibri" w:hAnsiTheme="majorHAnsi"/>
        </w:rPr>
        <w:t>s</w:t>
      </w:r>
      <w:r w:rsidR="005E2E7D" w:rsidRPr="007C4B78">
        <w:rPr>
          <w:rFonts w:asciiTheme="majorHAnsi" w:eastAsia="Calibri" w:hAnsiTheme="majorHAnsi"/>
        </w:rPr>
        <w:t>sful</w:t>
      </w:r>
      <w:r w:rsidR="00F56986" w:rsidRPr="007C4B78">
        <w:rPr>
          <w:rFonts w:asciiTheme="majorHAnsi" w:eastAsia="Calibri" w:hAnsiTheme="majorHAnsi"/>
        </w:rPr>
        <w:t xml:space="preserve"> at the High Court level </w:t>
      </w:r>
      <w:r w:rsidR="005E2E7D" w:rsidRPr="007C4B78">
        <w:rPr>
          <w:rFonts w:asciiTheme="majorHAnsi" w:eastAsia="Calibri" w:hAnsiTheme="majorHAnsi"/>
        </w:rPr>
        <w:t xml:space="preserve">and </w:t>
      </w:r>
      <w:r w:rsidR="00F56986" w:rsidRPr="007C4B78">
        <w:rPr>
          <w:rFonts w:asciiTheme="majorHAnsi" w:eastAsia="Calibri" w:hAnsiTheme="majorHAnsi"/>
        </w:rPr>
        <w:t>has been appealed to the Supreme Court where it has not yet been heard.  This case has put implementation on hold until the challenge is resolved.</w:t>
      </w:r>
      <w:r w:rsidR="00F56986" w:rsidRPr="007C4B78">
        <w:rPr>
          <w:rStyle w:val="FootnoteReference"/>
          <w:rFonts w:asciiTheme="majorHAnsi" w:eastAsia="Calibri" w:hAnsiTheme="majorHAnsi"/>
        </w:rPr>
        <w:footnoteReference w:id="32"/>
      </w:r>
    </w:p>
    <w:p w14:paraId="5B86B86D" w14:textId="77777777" w:rsidR="00F56986" w:rsidRPr="007C4B78" w:rsidRDefault="00F56986" w:rsidP="004D12C3">
      <w:pPr>
        <w:jc w:val="both"/>
        <w:rPr>
          <w:rFonts w:asciiTheme="majorHAnsi" w:eastAsia="Calibri" w:hAnsiTheme="majorHAnsi"/>
        </w:rPr>
      </w:pPr>
    </w:p>
    <w:p w14:paraId="5A5E03D7" w14:textId="77777777" w:rsidR="00400F2A" w:rsidRPr="007C4B78" w:rsidRDefault="00F56986" w:rsidP="004D12C3">
      <w:pPr>
        <w:jc w:val="both"/>
        <w:rPr>
          <w:rFonts w:asciiTheme="majorHAnsi" w:eastAsia="Calibri" w:hAnsiTheme="majorHAnsi"/>
        </w:rPr>
      </w:pPr>
      <w:r w:rsidRPr="007C4B78">
        <w:rPr>
          <w:rFonts w:asciiTheme="majorHAnsi" w:eastAsia="Calibri" w:hAnsiTheme="majorHAnsi"/>
        </w:rPr>
        <w:t xml:space="preserve">Many interviewees noted that the amendment </w:t>
      </w:r>
      <w:r w:rsidR="00464197" w:rsidRPr="007C4B78">
        <w:rPr>
          <w:rFonts w:asciiTheme="majorHAnsi" w:eastAsia="Calibri" w:hAnsiTheme="majorHAnsi"/>
        </w:rPr>
        <w:t>would</w:t>
      </w:r>
      <w:r w:rsidRPr="007C4B78">
        <w:rPr>
          <w:rFonts w:asciiTheme="majorHAnsi" w:eastAsia="Calibri" w:hAnsiTheme="majorHAnsi"/>
        </w:rPr>
        <w:t xml:space="preserve"> require training, guidelines and further regulation before the aims of the amendment can be effectuated.</w:t>
      </w:r>
      <w:r w:rsidRPr="007C4B78">
        <w:rPr>
          <w:rStyle w:val="FootnoteReference"/>
          <w:rFonts w:asciiTheme="majorHAnsi" w:eastAsia="Calibri" w:hAnsiTheme="majorHAnsi"/>
        </w:rPr>
        <w:footnoteReference w:id="33"/>
      </w:r>
      <w:r w:rsidR="00BC1129" w:rsidRPr="007C4B78">
        <w:rPr>
          <w:rFonts w:asciiTheme="majorHAnsi" w:eastAsia="Calibri" w:hAnsiTheme="majorHAnsi"/>
        </w:rPr>
        <w:t xml:space="preserve"> </w:t>
      </w:r>
      <w:r w:rsidR="00CD3D34" w:rsidRPr="007C4B78">
        <w:rPr>
          <w:rFonts w:asciiTheme="majorHAnsi" w:eastAsia="Calibri" w:hAnsiTheme="majorHAnsi"/>
        </w:rPr>
        <w:t>Some</w:t>
      </w:r>
      <w:r w:rsidRPr="007C4B78">
        <w:rPr>
          <w:rFonts w:asciiTheme="majorHAnsi" w:eastAsia="Calibri" w:hAnsiTheme="majorHAnsi"/>
        </w:rPr>
        <w:t xml:space="preserve"> legal professionals </w:t>
      </w:r>
      <w:r w:rsidR="00CD3D34" w:rsidRPr="007C4B78">
        <w:rPr>
          <w:rFonts w:asciiTheme="majorHAnsi" w:eastAsia="Calibri" w:hAnsiTheme="majorHAnsi"/>
        </w:rPr>
        <w:t xml:space="preserve">interviewed </w:t>
      </w:r>
      <w:r w:rsidR="002304DD" w:rsidRPr="007C4B78">
        <w:rPr>
          <w:rFonts w:asciiTheme="majorHAnsi" w:eastAsia="Calibri" w:hAnsiTheme="majorHAnsi"/>
        </w:rPr>
        <w:t>for the project criticis</w:t>
      </w:r>
      <w:r w:rsidRPr="007C4B78">
        <w:rPr>
          <w:rFonts w:asciiTheme="majorHAnsi" w:eastAsia="Calibri" w:hAnsiTheme="majorHAnsi"/>
        </w:rPr>
        <w:t>ed the amendment as</w:t>
      </w:r>
      <w:r w:rsidR="00CD3D34" w:rsidRPr="007C4B78">
        <w:rPr>
          <w:rFonts w:asciiTheme="majorHAnsi" w:eastAsia="Calibri" w:hAnsiTheme="majorHAnsi"/>
        </w:rPr>
        <w:t xml:space="preserve"> being</w:t>
      </w:r>
      <w:r w:rsidR="00BC1129" w:rsidRPr="007C4B78">
        <w:rPr>
          <w:rFonts w:asciiTheme="majorHAnsi" w:eastAsia="Calibri" w:hAnsiTheme="majorHAnsi"/>
        </w:rPr>
        <w:t xml:space="preserve"> </w:t>
      </w:r>
      <w:r w:rsidR="002304DD" w:rsidRPr="007C4B78">
        <w:rPr>
          <w:rFonts w:asciiTheme="majorHAnsi" w:eastAsia="Calibri" w:hAnsiTheme="majorHAnsi"/>
        </w:rPr>
        <w:t>largely ineffectual with regard</w:t>
      </w:r>
      <w:r w:rsidRPr="007C4B78">
        <w:rPr>
          <w:rFonts w:asciiTheme="majorHAnsi" w:eastAsia="Calibri" w:hAnsiTheme="majorHAnsi"/>
        </w:rPr>
        <w:t xml:space="preserve"> to children’s rights. One solicitor </w:t>
      </w:r>
      <w:r w:rsidR="00CD3D34" w:rsidRPr="007C4B78">
        <w:rPr>
          <w:rFonts w:asciiTheme="majorHAnsi" w:eastAsia="Calibri" w:hAnsiTheme="majorHAnsi"/>
        </w:rPr>
        <w:t>described the amendment</w:t>
      </w:r>
      <w:r w:rsidRPr="007C4B78">
        <w:rPr>
          <w:rFonts w:asciiTheme="majorHAnsi" w:eastAsia="Calibri" w:hAnsiTheme="majorHAnsi"/>
        </w:rPr>
        <w:t xml:space="preserve"> as </w:t>
      </w:r>
      <w:r w:rsidR="00CD3D34" w:rsidRPr="007C4B78">
        <w:rPr>
          <w:rFonts w:asciiTheme="majorHAnsi" w:eastAsia="Calibri" w:hAnsiTheme="majorHAnsi"/>
        </w:rPr>
        <w:t>‘</w:t>
      </w:r>
      <w:r w:rsidRPr="007C4B78">
        <w:rPr>
          <w:rFonts w:asciiTheme="majorHAnsi" w:eastAsia="Calibri" w:hAnsiTheme="majorHAnsi"/>
        </w:rPr>
        <w:t>useless</w:t>
      </w:r>
      <w:r w:rsidR="00CD3D34" w:rsidRPr="007C4B78">
        <w:rPr>
          <w:rFonts w:asciiTheme="majorHAnsi" w:eastAsia="Calibri" w:hAnsiTheme="majorHAnsi"/>
        </w:rPr>
        <w:t>’</w:t>
      </w:r>
      <w:r w:rsidRPr="007C4B78">
        <w:rPr>
          <w:rFonts w:asciiTheme="majorHAnsi" w:eastAsia="Calibri" w:hAnsiTheme="majorHAnsi"/>
        </w:rPr>
        <w:t xml:space="preserve"> for children with special needs, children needing educational supports, children needing mental health services and children in detention.</w:t>
      </w:r>
      <w:r w:rsidRPr="007C4B78">
        <w:rPr>
          <w:rStyle w:val="FootnoteReference"/>
          <w:rFonts w:asciiTheme="majorHAnsi" w:eastAsia="Calibri" w:hAnsiTheme="majorHAnsi"/>
        </w:rPr>
        <w:footnoteReference w:id="34"/>
      </w:r>
    </w:p>
    <w:p w14:paraId="63C62B91" w14:textId="77777777" w:rsidR="00400F2A" w:rsidRPr="007C4B78" w:rsidRDefault="00400F2A" w:rsidP="004D12C3">
      <w:pPr>
        <w:jc w:val="both"/>
        <w:rPr>
          <w:rFonts w:asciiTheme="majorHAnsi" w:eastAsia="Calibri" w:hAnsiTheme="majorHAnsi"/>
        </w:rPr>
      </w:pPr>
    </w:p>
    <w:p w14:paraId="4482390F" w14:textId="77777777" w:rsidR="007C0E0A" w:rsidRPr="007C4B78" w:rsidRDefault="00400F2A" w:rsidP="004D12C3">
      <w:pPr>
        <w:jc w:val="both"/>
        <w:rPr>
          <w:rFonts w:asciiTheme="majorHAnsi" w:hAnsiTheme="majorHAnsi"/>
        </w:rPr>
      </w:pPr>
      <w:r w:rsidRPr="007C4B78">
        <w:rPr>
          <w:rFonts w:asciiTheme="majorHAnsi" w:hAnsiTheme="majorHAnsi"/>
        </w:rPr>
        <w:lastRenderedPageBreak/>
        <w:t xml:space="preserve">Noble </w:t>
      </w:r>
      <w:r w:rsidR="00F56986" w:rsidRPr="007C4B78">
        <w:rPr>
          <w:rFonts w:asciiTheme="majorHAnsi" w:hAnsiTheme="majorHAnsi"/>
        </w:rPr>
        <w:t xml:space="preserve">states that the amendment will have little impact on existing legislation aside from adoption laws: “If you are a parent of a special needs child who requires round the clock care and attention this referendum on children’s rights achieves nothing. If you are a child in need of extra educational supports this debate is irrelevant to those needs. If you are a homeless child presenting at a </w:t>
      </w:r>
      <w:r w:rsidR="00D474CD" w:rsidRPr="007C4B78">
        <w:rPr>
          <w:rFonts w:asciiTheme="majorHAnsi" w:hAnsiTheme="majorHAnsi"/>
        </w:rPr>
        <w:t>G</w:t>
      </w:r>
      <w:r w:rsidR="00F56986" w:rsidRPr="007C4B78">
        <w:rPr>
          <w:rFonts w:asciiTheme="majorHAnsi" w:hAnsiTheme="majorHAnsi"/>
        </w:rPr>
        <w:t>arda station for shelter and having to go through the appalling out of hours service this referendum does nothing for you. If you are a child trying to rely on our disgraceful mental health service for minors, no protection is given in this amendment to the constitution. If you are a child prisoner in St Patrick’s Institution on twenty three hour lock up without a reason, no reliance can be placed on the new provisions.”</w:t>
      </w:r>
      <w:r w:rsidR="00F56986" w:rsidRPr="007C4B78">
        <w:rPr>
          <w:rStyle w:val="FootnoteReference"/>
          <w:rFonts w:asciiTheme="majorHAnsi" w:hAnsiTheme="majorHAnsi"/>
        </w:rPr>
        <w:footnoteReference w:id="35"/>
      </w:r>
    </w:p>
    <w:p w14:paraId="52D3D70E" w14:textId="77777777" w:rsidR="00400F2A" w:rsidRPr="007C4B78" w:rsidRDefault="00BC1129" w:rsidP="004D12C3">
      <w:pPr>
        <w:jc w:val="both"/>
        <w:rPr>
          <w:rFonts w:asciiTheme="majorHAnsi" w:hAnsiTheme="majorHAnsi"/>
        </w:rPr>
      </w:pPr>
      <w:r w:rsidRPr="007C4B78">
        <w:rPr>
          <w:rFonts w:asciiTheme="majorHAnsi" w:hAnsiTheme="majorHAnsi"/>
        </w:rPr>
        <w:t xml:space="preserve"> </w:t>
      </w:r>
    </w:p>
    <w:p w14:paraId="23EE0F6D" w14:textId="77777777" w:rsidR="00400F2A" w:rsidRPr="007C4B78" w:rsidRDefault="00400F2A" w:rsidP="004D12C3">
      <w:pPr>
        <w:jc w:val="both"/>
        <w:rPr>
          <w:rFonts w:asciiTheme="majorHAnsi" w:eastAsia="Calibri" w:hAnsiTheme="majorHAnsi"/>
        </w:rPr>
      </w:pPr>
      <w:r w:rsidRPr="007C4B78">
        <w:rPr>
          <w:rFonts w:asciiTheme="majorHAnsi" w:hAnsiTheme="majorHAnsi"/>
        </w:rPr>
        <w:t>At the time of writing, the potential impact of this Constitutional amendment remains unknown. However,</w:t>
      </w:r>
      <w:r w:rsidR="00C3038A" w:rsidRPr="007C4B78">
        <w:rPr>
          <w:rFonts w:asciiTheme="majorHAnsi" w:hAnsiTheme="majorHAnsi"/>
        </w:rPr>
        <w:t xml:space="preserve"> it is clear that greater monitoring of the amendment is required</w:t>
      </w:r>
      <w:r w:rsidRPr="007C4B78">
        <w:rPr>
          <w:rFonts w:asciiTheme="majorHAnsi" w:hAnsiTheme="majorHAnsi"/>
        </w:rPr>
        <w:t xml:space="preserve"> if it is to be successful in facilitating </w:t>
      </w:r>
      <w:r w:rsidR="00C3038A" w:rsidRPr="007C4B78">
        <w:rPr>
          <w:rFonts w:asciiTheme="majorHAnsi" w:hAnsiTheme="majorHAnsi"/>
        </w:rPr>
        <w:t>greater access to justice for children with cognitive disabilities.</w:t>
      </w:r>
    </w:p>
    <w:p w14:paraId="7ED28C2E" w14:textId="77777777" w:rsidR="00E34C76" w:rsidRPr="007C4B78" w:rsidRDefault="00E34C76" w:rsidP="004D12C3">
      <w:pPr>
        <w:pStyle w:val="Heading3"/>
        <w:jc w:val="both"/>
      </w:pPr>
      <w:bookmarkStart w:id="17" w:name="_Toc417303144"/>
      <w:r w:rsidRPr="007C4B78">
        <w:t>Tusla and the Child and Family Agency Act</w:t>
      </w:r>
      <w:bookmarkEnd w:id="17"/>
    </w:p>
    <w:p w14:paraId="6E58BAC4" w14:textId="77777777" w:rsidR="00E34C76" w:rsidRPr="007C4B78" w:rsidRDefault="00E34C76" w:rsidP="004D12C3">
      <w:pPr>
        <w:jc w:val="both"/>
        <w:rPr>
          <w:rFonts w:asciiTheme="majorHAnsi" w:eastAsia="Calibri" w:hAnsiTheme="majorHAnsi"/>
        </w:rPr>
      </w:pPr>
      <w:r w:rsidRPr="007C4B78">
        <w:rPr>
          <w:rFonts w:asciiTheme="majorHAnsi" w:eastAsia="Calibri" w:hAnsiTheme="majorHAnsi"/>
        </w:rPr>
        <w:t>Tusla</w:t>
      </w:r>
      <w:r w:rsidR="008A2EB0" w:rsidRPr="007C4B78">
        <w:rPr>
          <w:rFonts w:asciiTheme="majorHAnsi" w:eastAsia="Calibri" w:hAnsiTheme="majorHAnsi"/>
        </w:rPr>
        <w:t xml:space="preserve">, the Child and Family Agency in Ireland </w:t>
      </w:r>
      <w:proofErr w:type="gramStart"/>
      <w:r w:rsidRPr="007C4B78">
        <w:rPr>
          <w:rFonts w:asciiTheme="majorHAnsi" w:eastAsia="Calibri" w:hAnsiTheme="majorHAnsi"/>
        </w:rPr>
        <w:t>was</w:t>
      </w:r>
      <w:proofErr w:type="gramEnd"/>
      <w:r w:rsidRPr="007C4B78">
        <w:rPr>
          <w:rFonts w:asciiTheme="majorHAnsi" w:eastAsia="Calibri" w:hAnsiTheme="majorHAnsi"/>
        </w:rPr>
        <w:t xml:space="preserve"> established on January 1</w:t>
      </w:r>
      <w:r w:rsidRPr="007C4B78">
        <w:rPr>
          <w:rFonts w:asciiTheme="majorHAnsi" w:eastAsia="Calibri" w:hAnsiTheme="majorHAnsi"/>
          <w:vertAlign w:val="superscript"/>
        </w:rPr>
        <w:t>st</w:t>
      </w:r>
      <w:r w:rsidRPr="007C4B78">
        <w:rPr>
          <w:rFonts w:asciiTheme="majorHAnsi" w:eastAsia="Calibri" w:hAnsiTheme="majorHAnsi"/>
        </w:rPr>
        <w:t>, 2014</w:t>
      </w:r>
      <w:r w:rsidR="0043430B" w:rsidRPr="007C4B78">
        <w:rPr>
          <w:rFonts w:asciiTheme="majorHAnsi" w:eastAsia="Calibri" w:hAnsiTheme="majorHAnsi"/>
        </w:rPr>
        <w:t>,</w:t>
      </w:r>
      <w:r w:rsidRPr="007C4B78">
        <w:rPr>
          <w:rFonts w:asciiTheme="majorHAnsi" w:eastAsia="Calibri" w:hAnsiTheme="majorHAnsi"/>
        </w:rPr>
        <w:t xml:space="preserve"> which absorbed the HSE Child and Family Services, Family Support Agency and the National Education Welfare Board. </w:t>
      </w:r>
    </w:p>
    <w:p w14:paraId="5D01ED5C" w14:textId="77777777" w:rsidR="008A2EB0" w:rsidRPr="007C4B78" w:rsidRDefault="008A2EB0" w:rsidP="004D12C3">
      <w:pPr>
        <w:jc w:val="both"/>
        <w:rPr>
          <w:rFonts w:asciiTheme="majorHAnsi" w:hAnsiTheme="majorHAnsi"/>
        </w:rPr>
      </w:pPr>
    </w:p>
    <w:p w14:paraId="2DFBBB83" w14:textId="77777777" w:rsidR="00E34C76" w:rsidRPr="007C4B78" w:rsidRDefault="00E34C76" w:rsidP="004D12C3">
      <w:pPr>
        <w:jc w:val="both"/>
        <w:rPr>
          <w:rFonts w:asciiTheme="majorHAnsi" w:hAnsiTheme="majorHAnsi"/>
        </w:rPr>
      </w:pPr>
      <w:r w:rsidRPr="007C4B78">
        <w:rPr>
          <w:rFonts w:asciiTheme="majorHAnsi" w:hAnsiTheme="majorHAnsi"/>
        </w:rPr>
        <w:t xml:space="preserve">The </w:t>
      </w:r>
      <w:proofErr w:type="gramStart"/>
      <w:r w:rsidR="008A2EB0" w:rsidRPr="007C4B78">
        <w:rPr>
          <w:rFonts w:asciiTheme="majorHAnsi" w:hAnsiTheme="majorHAnsi"/>
        </w:rPr>
        <w:t>Act which</w:t>
      </w:r>
      <w:proofErr w:type="gramEnd"/>
      <w:r w:rsidR="008A2EB0" w:rsidRPr="007C4B78">
        <w:rPr>
          <w:rFonts w:asciiTheme="majorHAnsi" w:hAnsiTheme="majorHAnsi"/>
        </w:rPr>
        <w:t xml:space="preserve"> establishes Tusla</w:t>
      </w:r>
      <w:r w:rsidR="004F16D3" w:rsidRPr="007C4B78">
        <w:rPr>
          <w:rFonts w:asciiTheme="majorHAnsi" w:hAnsiTheme="majorHAnsi"/>
        </w:rPr>
        <w:t>,</w:t>
      </w:r>
      <w:r w:rsidRPr="007C4B78">
        <w:rPr>
          <w:rFonts w:asciiTheme="majorHAnsi" w:hAnsiTheme="majorHAnsi"/>
        </w:rPr>
        <w:t xml:space="preserve"> states that when the Child and Family Agency is planning and reviewing the provision of services related to the development, welfare and protection of the child or the effective functioning of families</w:t>
      </w:r>
      <w:r w:rsidR="008A2EB0" w:rsidRPr="007C4B78">
        <w:rPr>
          <w:rFonts w:asciiTheme="majorHAnsi" w:hAnsiTheme="majorHAnsi"/>
        </w:rPr>
        <w:t>,</w:t>
      </w:r>
      <w:r w:rsidRPr="007C4B78">
        <w:rPr>
          <w:rFonts w:asciiTheme="majorHAnsi" w:hAnsiTheme="majorHAnsi"/>
        </w:rPr>
        <w:t xml:space="preserve"> the agency “shall … ensure that consideration is given to the views of children.”</w:t>
      </w:r>
      <w:r w:rsidRPr="007C4B78">
        <w:rPr>
          <w:rStyle w:val="FootnoteReference"/>
          <w:rFonts w:asciiTheme="majorHAnsi" w:hAnsiTheme="majorHAnsi"/>
        </w:rPr>
        <w:footnoteReference w:id="36"/>
      </w:r>
      <w:r w:rsidRPr="007C4B78">
        <w:rPr>
          <w:rFonts w:asciiTheme="majorHAnsi" w:hAnsiTheme="majorHAnsi"/>
        </w:rPr>
        <w:t xml:space="preserve"> However the next provision states that when the agency is perf</w:t>
      </w:r>
      <w:r w:rsidR="004F16D3" w:rsidRPr="007C4B78">
        <w:rPr>
          <w:rFonts w:asciiTheme="majorHAnsi" w:hAnsiTheme="majorHAnsi"/>
        </w:rPr>
        <w:t>orming its function with regard</w:t>
      </w:r>
      <w:r w:rsidRPr="007C4B78">
        <w:rPr>
          <w:rFonts w:asciiTheme="majorHAnsi" w:hAnsiTheme="majorHAnsi"/>
        </w:rPr>
        <w:t xml:space="preserve"> to care proceedings, adoptions or education then the views of the child must be heard “where the child is capable of forming and expressing his or her own views.” There is no further guidance given on how to determine if the child is capable of forming and expressing views.</w:t>
      </w:r>
      <w:r w:rsidRPr="007C4B78">
        <w:rPr>
          <w:rStyle w:val="FootnoteReference"/>
          <w:rFonts w:asciiTheme="majorHAnsi" w:hAnsiTheme="majorHAnsi"/>
        </w:rPr>
        <w:footnoteReference w:id="37"/>
      </w:r>
      <w:r w:rsidRPr="007C4B78">
        <w:rPr>
          <w:rFonts w:asciiTheme="majorHAnsi" w:hAnsiTheme="majorHAnsi"/>
        </w:rPr>
        <w:t xml:space="preserve">  This provision would only apply to the Child and Family Agency itself and would not apply to the courts if the cases proceeded. According to one int</w:t>
      </w:r>
      <w:r w:rsidR="009E24C5" w:rsidRPr="007C4B78">
        <w:rPr>
          <w:rFonts w:asciiTheme="majorHAnsi" w:hAnsiTheme="majorHAnsi"/>
        </w:rPr>
        <w:t>erviewee</w:t>
      </w:r>
      <w:r w:rsidR="00531C1C" w:rsidRPr="007C4B78">
        <w:rPr>
          <w:rFonts w:asciiTheme="majorHAnsi" w:hAnsiTheme="majorHAnsi"/>
        </w:rPr>
        <w:t xml:space="preserve"> for this project,</w:t>
      </w:r>
      <w:r w:rsidR="009E24C5" w:rsidRPr="007C4B78">
        <w:rPr>
          <w:rFonts w:asciiTheme="majorHAnsi" w:hAnsiTheme="majorHAnsi"/>
        </w:rPr>
        <w:t xml:space="preserve"> earlier drafts of the </w:t>
      </w:r>
      <w:r w:rsidRPr="007C4B78">
        <w:rPr>
          <w:rFonts w:asciiTheme="majorHAnsi" w:hAnsiTheme="majorHAnsi"/>
        </w:rPr>
        <w:t xml:space="preserve">Child and Family Agency </w:t>
      </w:r>
      <w:r w:rsidR="004F16D3" w:rsidRPr="007C4B78">
        <w:rPr>
          <w:rFonts w:asciiTheme="majorHAnsi" w:hAnsiTheme="majorHAnsi"/>
        </w:rPr>
        <w:t xml:space="preserve">Bill </w:t>
      </w:r>
      <w:r w:rsidRPr="007C4B78">
        <w:rPr>
          <w:rFonts w:asciiTheme="majorHAnsi" w:hAnsiTheme="majorHAnsi"/>
        </w:rPr>
        <w:t>had a much broader scope for voice of the child</w:t>
      </w:r>
      <w:r w:rsidR="004F16D3" w:rsidRPr="007C4B78">
        <w:rPr>
          <w:rFonts w:asciiTheme="majorHAnsi" w:hAnsiTheme="majorHAnsi"/>
        </w:rPr>
        <w:t>,</w:t>
      </w:r>
      <w:r w:rsidRPr="007C4B78">
        <w:rPr>
          <w:rFonts w:asciiTheme="majorHAnsi" w:hAnsiTheme="majorHAnsi"/>
        </w:rPr>
        <w:t xml:space="preserve"> but</w:t>
      </w:r>
      <w:r w:rsidR="004F16D3" w:rsidRPr="007C4B78">
        <w:rPr>
          <w:rFonts w:asciiTheme="majorHAnsi" w:hAnsiTheme="majorHAnsi"/>
        </w:rPr>
        <w:t xml:space="preserve"> this</w:t>
      </w:r>
      <w:r w:rsidRPr="007C4B78">
        <w:rPr>
          <w:rFonts w:asciiTheme="majorHAnsi" w:hAnsiTheme="majorHAnsi"/>
        </w:rPr>
        <w:t xml:space="preserve"> was ultimately narrowed because the broad scope was deemed too unwieldy.</w:t>
      </w:r>
      <w:r w:rsidRPr="007C4B78">
        <w:rPr>
          <w:rStyle w:val="FootnoteReference"/>
          <w:rFonts w:asciiTheme="majorHAnsi" w:hAnsiTheme="majorHAnsi"/>
        </w:rPr>
        <w:footnoteReference w:id="38"/>
      </w:r>
    </w:p>
    <w:p w14:paraId="2D55694E" w14:textId="77777777" w:rsidR="009E24C5" w:rsidRPr="007C4B78" w:rsidRDefault="009E24C5" w:rsidP="004D12C3">
      <w:pPr>
        <w:pStyle w:val="Heading3"/>
        <w:jc w:val="both"/>
      </w:pPr>
      <w:bookmarkStart w:id="18" w:name="_Toc417303145"/>
      <w:r w:rsidRPr="007C4B78">
        <w:t xml:space="preserve">Children and Family Relationships </w:t>
      </w:r>
      <w:r w:rsidR="0088524C" w:rsidRPr="007C4B78">
        <w:t>Act</w:t>
      </w:r>
      <w:bookmarkEnd w:id="18"/>
    </w:p>
    <w:p w14:paraId="40B5B193" w14:textId="77777777" w:rsidR="009E24C5" w:rsidRPr="007C4B78" w:rsidRDefault="009E24C5" w:rsidP="004D12C3">
      <w:pPr>
        <w:jc w:val="both"/>
      </w:pPr>
      <w:r w:rsidRPr="007C4B78">
        <w:t>On the 12</w:t>
      </w:r>
      <w:r w:rsidRPr="007C4B78">
        <w:rPr>
          <w:vertAlign w:val="superscript"/>
        </w:rPr>
        <w:t>th</w:t>
      </w:r>
      <w:r w:rsidRPr="007C4B78">
        <w:t xml:space="preserve"> of </w:t>
      </w:r>
      <w:r w:rsidR="00464197" w:rsidRPr="007C4B78">
        <w:t>March</w:t>
      </w:r>
      <w:r w:rsidRPr="007C4B78">
        <w:t xml:space="preserve"> 2015 the Dáil passed the Children and Family Relationships </w:t>
      </w:r>
      <w:r w:rsidR="0088524C" w:rsidRPr="007C4B78">
        <w:t xml:space="preserve">Act </w:t>
      </w:r>
      <w:r w:rsidR="00537948" w:rsidRPr="007C4B78">
        <w:t>and the Seanad passed it on the 31</w:t>
      </w:r>
      <w:r w:rsidR="00537948" w:rsidRPr="007C4B78">
        <w:rPr>
          <w:vertAlign w:val="superscript"/>
        </w:rPr>
        <w:t>st</w:t>
      </w:r>
      <w:r w:rsidR="00B72D34" w:rsidRPr="007C4B78">
        <w:t xml:space="preserve"> of </w:t>
      </w:r>
      <w:r w:rsidR="00464197" w:rsidRPr="007C4B78">
        <w:t>March</w:t>
      </w:r>
      <w:r w:rsidR="00B72D34" w:rsidRPr="007C4B78">
        <w:t xml:space="preserve"> 2015</w:t>
      </w:r>
      <w:r w:rsidR="009465C7" w:rsidRPr="007C4B78">
        <w:t xml:space="preserve">. The </w:t>
      </w:r>
      <w:r w:rsidR="00E21A71" w:rsidRPr="007C4B78">
        <w:t>Act a</w:t>
      </w:r>
      <w:r w:rsidR="00531C1C" w:rsidRPr="007C4B78">
        <w:t>mend</w:t>
      </w:r>
      <w:r w:rsidR="00E21A71" w:rsidRPr="007C4B78">
        <w:t xml:space="preserve">s the law on </w:t>
      </w:r>
      <w:r w:rsidR="003D31FD" w:rsidRPr="007C4B78">
        <w:t>adoption,</w:t>
      </w:r>
      <w:r w:rsidR="00E21A71" w:rsidRPr="007C4B78">
        <w:t xml:space="preserve"> guardianship, custody and access for</w:t>
      </w:r>
      <w:r w:rsidR="003D31FD" w:rsidRPr="007C4B78">
        <w:t xml:space="preserve"> co-habitating</w:t>
      </w:r>
      <w:r w:rsidR="00BC1129" w:rsidRPr="007C4B78">
        <w:t xml:space="preserve"> </w:t>
      </w:r>
      <w:r w:rsidR="00B72D34" w:rsidRPr="007C4B78">
        <w:t>couples, civil</w:t>
      </w:r>
      <w:r w:rsidR="00F43B06" w:rsidRPr="007C4B78">
        <w:t xml:space="preserve"> partners,</w:t>
      </w:r>
      <w:r w:rsidR="00BC1129" w:rsidRPr="007C4B78">
        <w:t xml:space="preserve"> </w:t>
      </w:r>
      <w:r w:rsidR="00E21A71" w:rsidRPr="007C4B78">
        <w:t xml:space="preserve">parents </w:t>
      </w:r>
      <w:r w:rsidR="009465C7" w:rsidRPr="007C4B78">
        <w:t xml:space="preserve">and guardianship in the case of </w:t>
      </w:r>
      <w:r w:rsidR="00537948" w:rsidRPr="007C4B78">
        <w:t xml:space="preserve">donor assisted reproduction </w:t>
      </w:r>
      <w:r w:rsidR="003D31FD" w:rsidRPr="007C4B78">
        <w:t xml:space="preserve">and </w:t>
      </w:r>
      <w:r w:rsidR="009465C7" w:rsidRPr="007C4B78">
        <w:t>also amend</w:t>
      </w:r>
      <w:r w:rsidR="00531C1C" w:rsidRPr="007C4B78">
        <w:t>s</w:t>
      </w:r>
      <w:r w:rsidR="009465C7" w:rsidRPr="007C4B78">
        <w:t xml:space="preserve"> sections of the Guardianship of Infants Act 1964. </w:t>
      </w:r>
    </w:p>
    <w:p w14:paraId="156A1EE2" w14:textId="77777777" w:rsidR="00D73861" w:rsidRPr="007C4B78" w:rsidRDefault="00D73861" w:rsidP="004D12C3">
      <w:pPr>
        <w:pStyle w:val="Heading1"/>
        <w:jc w:val="both"/>
      </w:pPr>
      <w:bookmarkStart w:id="19" w:name="_Toc417303146"/>
      <w:r w:rsidRPr="007C4B78">
        <w:lastRenderedPageBreak/>
        <w:t>Education</w:t>
      </w:r>
      <w:bookmarkEnd w:id="19"/>
    </w:p>
    <w:p w14:paraId="232F8CB6" w14:textId="77777777" w:rsidR="006235AF" w:rsidRPr="007C4B78" w:rsidRDefault="009B54A4" w:rsidP="004D12C3">
      <w:pPr>
        <w:pStyle w:val="Heading2"/>
        <w:jc w:val="both"/>
        <w:rPr>
          <w:rFonts w:asciiTheme="majorHAnsi" w:hAnsiTheme="majorHAnsi"/>
        </w:rPr>
      </w:pPr>
      <w:bookmarkStart w:id="20" w:name="_Toc417303147"/>
      <w:r w:rsidRPr="007C4B78">
        <w:rPr>
          <w:rFonts w:asciiTheme="majorHAnsi" w:hAnsiTheme="majorHAnsi"/>
        </w:rPr>
        <w:t>History of relevant laws and policies relating to education and access to justice</w:t>
      </w:r>
      <w:bookmarkEnd w:id="20"/>
    </w:p>
    <w:p w14:paraId="7235D5F7" w14:textId="77777777" w:rsidR="00406F80" w:rsidRPr="007C4B78" w:rsidRDefault="00406F80" w:rsidP="004D12C3">
      <w:pPr>
        <w:pStyle w:val="ColorfulList-Accent11"/>
        <w:ind w:left="0"/>
        <w:jc w:val="both"/>
        <w:rPr>
          <w:rFonts w:asciiTheme="majorHAnsi" w:hAnsiTheme="majorHAnsi"/>
        </w:rPr>
      </w:pPr>
      <w:r w:rsidRPr="007C4B78">
        <w:rPr>
          <w:rFonts w:asciiTheme="majorHAnsi" w:hAnsiTheme="majorHAnsi"/>
        </w:rPr>
        <w:t>As stated above</w:t>
      </w:r>
      <w:r w:rsidR="00531C1C" w:rsidRPr="007C4B78">
        <w:rPr>
          <w:rFonts w:asciiTheme="majorHAnsi" w:hAnsiTheme="majorHAnsi"/>
        </w:rPr>
        <w:t>,</w:t>
      </w:r>
      <w:r w:rsidRPr="007C4B78">
        <w:rPr>
          <w:rFonts w:asciiTheme="majorHAnsi" w:hAnsiTheme="majorHAnsi"/>
        </w:rPr>
        <w:t xml:space="preserve"> the Irish constitution contains strong </w:t>
      </w:r>
      <w:r w:rsidR="00531C1C" w:rsidRPr="007C4B78">
        <w:rPr>
          <w:rFonts w:asciiTheme="majorHAnsi" w:hAnsiTheme="majorHAnsi"/>
        </w:rPr>
        <w:t xml:space="preserve">provisions </w:t>
      </w:r>
      <w:r w:rsidRPr="007C4B78">
        <w:rPr>
          <w:rFonts w:asciiTheme="majorHAnsi" w:hAnsiTheme="majorHAnsi"/>
        </w:rPr>
        <w:t>protecting parental rights in the education of their children</w:t>
      </w:r>
      <w:r w:rsidR="00331F5D" w:rsidRPr="007C4B78">
        <w:rPr>
          <w:rFonts w:asciiTheme="majorHAnsi" w:hAnsiTheme="majorHAnsi"/>
        </w:rPr>
        <w:t>.</w:t>
      </w:r>
      <w:r w:rsidR="00BC1129" w:rsidRPr="007C4B78">
        <w:rPr>
          <w:rFonts w:asciiTheme="majorHAnsi" w:hAnsiTheme="majorHAnsi"/>
        </w:rPr>
        <w:t xml:space="preserve"> </w:t>
      </w:r>
      <w:r w:rsidR="00331F5D" w:rsidRPr="007C4B78">
        <w:rPr>
          <w:rFonts w:asciiTheme="majorHAnsi" w:hAnsiTheme="majorHAnsi"/>
        </w:rPr>
        <w:t>H</w:t>
      </w:r>
      <w:r w:rsidRPr="007C4B78">
        <w:rPr>
          <w:rFonts w:asciiTheme="majorHAnsi" w:hAnsiTheme="majorHAnsi"/>
        </w:rPr>
        <w:t>istorically however</w:t>
      </w:r>
      <w:r w:rsidR="00331F5D" w:rsidRPr="007C4B78">
        <w:rPr>
          <w:rFonts w:asciiTheme="majorHAnsi" w:hAnsiTheme="majorHAnsi"/>
        </w:rPr>
        <w:t>,</w:t>
      </w:r>
      <w:r w:rsidRPr="007C4B78">
        <w:rPr>
          <w:rFonts w:asciiTheme="majorHAnsi" w:hAnsiTheme="majorHAnsi"/>
        </w:rPr>
        <w:t xml:space="preserve"> those rights were often </w:t>
      </w:r>
      <w:r w:rsidR="00331F5D" w:rsidRPr="007C4B78">
        <w:rPr>
          <w:rFonts w:asciiTheme="majorHAnsi" w:hAnsiTheme="majorHAnsi"/>
        </w:rPr>
        <w:t xml:space="preserve">restricted by the </w:t>
      </w:r>
      <w:r w:rsidR="00AF0876" w:rsidRPr="007C4B78">
        <w:rPr>
          <w:rFonts w:asciiTheme="majorHAnsi" w:hAnsiTheme="majorHAnsi"/>
        </w:rPr>
        <w:t>way in which education is provided in Ireland – typically through State-funding of schools operated by religio</w:t>
      </w:r>
      <w:r w:rsidR="001903BD" w:rsidRPr="007C4B78">
        <w:rPr>
          <w:rFonts w:asciiTheme="majorHAnsi" w:hAnsiTheme="majorHAnsi"/>
        </w:rPr>
        <w:t>us bodies</w:t>
      </w:r>
      <w:r w:rsidRPr="007C4B78">
        <w:rPr>
          <w:rFonts w:asciiTheme="majorHAnsi" w:hAnsiTheme="majorHAnsi"/>
        </w:rPr>
        <w:t xml:space="preserve">. </w:t>
      </w:r>
      <w:r w:rsidRPr="007C4B78">
        <w:rPr>
          <w:rStyle w:val="FootnoteReference"/>
          <w:rFonts w:asciiTheme="majorHAnsi" w:hAnsiTheme="majorHAnsi"/>
        </w:rPr>
        <w:footnoteReference w:id="39"/>
      </w:r>
      <w:r w:rsidR="003D1059" w:rsidRPr="007C4B78">
        <w:rPr>
          <w:rFonts w:asciiTheme="majorHAnsi" w:hAnsiTheme="majorHAnsi"/>
        </w:rPr>
        <w:t xml:space="preserve"> This was especially true for the education of children with disabilities in independent and mid century Ireland where education was provided to children with cognitive disabilities in residential institutions</w:t>
      </w:r>
      <w:r w:rsidR="006D5099" w:rsidRPr="007C4B78">
        <w:rPr>
          <w:rFonts w:asciiTheme="majorHAnsi" w:hAnsiTheme="majorHAnsi"/>
        </w:rPr>
        <w:t xml:space="preserve"> run by religious organisations</w:t>
      </w:r>
      <w:r w:rsidR="003D1059" w:rsidRPr="007C4B78">
        <w:rPr>
          <w:rFonts w:asciiTheme="majorHAnsi" w:hAnsiTheme="majorHAnsi"/>
        </w:rPr>
        <w:t>.</w:t>
      </w:r>
      <w:r w:rsidR="003D1059" w:rsidRPr="007C4B78">
        <w:rPr>
          <w:rStyle w:val="FootnoteReference"/>
          <w:rFonts w:asciiTheme="majorHAnsi" w:hAnsiTheme="majorHAnsi"/>
        </w:rPr>
        <w:footnoteReference w:id="40"/>
      </w:r>
      <w:r w:rsidR="00281B04" w:rsidRPr="007C4B78">
        <w:rPr>
          <w:rFonts w:asciiTheme="majorHAnsi" w:hAnsiTheme="majorHAnsi"/>
        </w:rPr>
        <w:t>In the mid to late 20</w:t>
      </w:r>
      <w:r w:rsidR="003D732D" w:rsidRPr="007C4B78">
        <w:rPr>
          <w:rFonts w:asciiTheme="majorHAnsi" w:hAnsiTheme="majorHAnsi"/>
          <w:vertAlign w:val="superscript"/>
        </w:rPr>
        <w:t>th</w:t>
      </w:r>
      <w:r w:rsidR="00281B04" w:rsidRPr="007C4B78">
        <w:rPr>
          <w:rFonts w:asciiTheme="majorHAnsi" w:hAnsiTheme="majorHAnsi"/>
        </w:rPr>
        <w:t xml:space="preserve"> century</w:t>
      </w:r>
      <w:r w:rsidR="003D1059" w:rsidRPr="007C4B78">
        <w:rPr>
          <w:rFonts w:asciiTheme="majorHAnsi" w:hAnsiTheme="majorHAnsi"/>
        </w:rPr>
        <w:t xml:space="preserve"> parents associations</w:t>
      </w:r>
      <w:r w:rsidR="00281B04" w:rsidRPr="007C4B78">
        <w:rPr>
          <w:rFonts w:asciiTheme="majorHAnsi" w:hAnsiTheme="majorHAnsi"/>
        </w:rPr>
        <w:t xml:space="preserve"> made efforts</w:t>
      </w:r>
      <w:r w:rsidR="003D1059" w:rsidRPr="007C4B78">
        <w:rPr>
          <w:rFonts w:asciiTheme="majorHAnsi" w:hAnsiTheme="majorHAnsi"/>
        </w:rPr>
        <w:t xml:space="preserve"> to establish non-denomination</w:t>
      </w:r>
      <w:r w:rsidR="006D5099" w:rsidRPr="007C4B78">
        <w:rPr>
          <w:rFonts w:asciiTheme="majorHAnsi" w:hAnsiTheme="majorHAnsi"/>
        </w:rPr>
        <w:t>al</w:t>
      </w:r>
      <w:r w:rsidR="003D1059" w:rsidRPr="007C4B78">
        <w:rPr>
          <w:rFonts w:asciiTheme="majorHAnsi" w:hAnsiTheme="majorHAnsi"/>
        </w:rPr>
        <w:t xml:space="preserve"> day schools for children with cognitive disabilities, </w:t>
      </w:r>
      <w:r w:rsidR="00257FDD" w:rsidRPr="007C4B78">
        <w:rPr>
          <w:rFonts w:asciiTheme="majorHAnsi" w:hAnsiTheme="majorHAnsi"/>
        </w:rPr>
        <w:t>but these early efforts created tension with many religious organisations already providing educational support in a more institutional setting</w:t>
      </w:r>
      <w:r w:rsidR="003D1059" w:rsidRPr="007C4B78">
        <w:rPr>
          <w:rFonts w:asciiTheme="majorHAnsi" w:hAnsiTheme="majorHAnsi"/>
        </w:rPr>
        <w:t>.</w:t>
      </w:r>
      <w:r w:rsidR="003D1059" w:rsidRPr="007C4B78">
        <w:rPr>
          <w:rStyle w:val="FootnoteReference"/>
          <w:rFonts w:asciiTheme="majorHAnsi" w:hAnsiTheme="majorHAnsi"/>
        </w:rPr>
        <w:footnoteReference w:id="41"/>
      </w:r>
      <w:r w:rsidR="005220C3" w:rsidRPr="007C4B78">
        <w:rPr>
          <w:rFonts w:asciiTheme="majorHAnsi" w:hAnsiTheme="majorHAnsi"/>
        </w:rPr>
        <w:t xml:space="preserve"> The Education Act of 1998 provided for wider parental involvement</w:t>
      </w:r>
      <w:r w:rsidR="00257FDD" w:rsidRPr="007C4B78">
        <w:rPr>
          <w:rFonts w:asciiTheme="majorHAnsi" w:hAnsiTheme="majorHAnsi"/>
        </w:rPr>
        <w:t xml:space="preserve"> in educational </w:t>
      </w:r>
      <w:r w:rsidR="009416CC" w:rsidRPr="007C4B78">
        <w:rPr>
          <w:rFonts w:asciiTheme="majorHAnsi" w:hAnsiTheme="majorHAnsi"/>
        </w:rPr>
        <w:t>decisions</w:t>
      </w:r>
      <w:r w:rsidR="00257FDD" w:rsidRPr="007C4B78">
        <w:rPr>
          <w:rFonts w:asciiTheme="majorHAnsi" w:hAnsiTheme="majorHAnsi"/>
        </w:rPr>
        <w:t xml:space="preserve"> for children</w:t>
      </w:r>
      <w:r w:rsidR="006F1A78" w:rsidRPr="007C4B78">
        <w:rPr>
          <w:rFonts w:asciiTheme="majorHAnsi" w:hAnsiTheme="majorHAnsi"/>
        </w:rPr>
        <w:t xml:space="preserve"> and</w:t>
      </w:r>
      <w:r w:rsidR="00257FDD" w:rsidRPr="007C4B78">
        <w:rPr>
          <w:rFonts w:asciiTheme="majorHAnsi" w:hAnsiTheme="majorHAnsi"/>
        </w:rPr>
        <w:t xml:space="preserve"> created</w:t>
      </w:r>
      <w:r w:rsidR="006F1A78" w:rsidRPr="007C4B78">
        <w:rPr>
          <w:rFonts w:asciiTheme="majorHAnsi" w:hAnsiTheme="majorHAnsi"/>
        </w:rPr>
        <w:t xml:space="preserve"> more </w:t>
      </w:r>
      <w:r w:rsidR="00257FDD" w:rsidRPr="007C4B78">
        <w:rPr>
          <w:rFonts w:asciiTheme="majorHAnsi" w:hAnsiTheme="majorHAnsi"/>
        </w:rPr>
        <w:t xml:space="preserve">formal </w:t>
      </w:r>
      <w:r w:rsidR="006F1A78" w:rsidRPr="007C4B78">
        <w:rPr>
          <w:rFonts w:asciiTheme="majorHAnsi" w:hAnsiTheme="majorHAnsi"/>
        </w:rPr>
        <w:t>avenues for lodging complaints</w:t>
      </w:r>
      <w:r w:rsidR="00257FDD" w:rsidRPr="007C4B78">
        <w:rPr>
          <w:rFonts w:asciiTheme="majorHAnsi" w:hAnsiTheme="majorHAnsi"/>
        </w:rPr>
        <w:t xml:space="preserve"> about educational provision</w:t>
      </w:r>
      <w:r w:rsidR="005220C3" w:rsidRPr="007C4B78">
        <w:rPr>
          <w:rFonts w:asciiTheme="majorHAnsi" w:hAnsiTheme="majorHAnsi"/>
        </w:rPr>
        <w:t>.</w:t>
      </w:r>
      <w:r w:rsidR="005220C3" w:rsidRPr="007C4B78">
        <w:rPr>
          <w:rStyle w:val="FootnoteReference"/>
          <w:rFonts w:asciiTheme="majorHAnsi" w:hAnsiTheme="majorHAnsi"/>
        </w:rPr>
        <w:footnoteReference w:id="42"/>
      </w:r>
    </w:p>
    <w:p w14:paraId="165E593F" w14:textId="77777777" w:rsidR="006F1A78" w:rsidRPr="007C4B78" w:rsidRDefault="006F1A78" w:rsidP="004D12C3">
      <w:pPr>
        <w:pStyle w:val="task"/>
        <w:tabs>
          <w:tab w:val="clear" w:pos="680"/>
          <w:tab w:val="left" w:pos="0"/>
        </w:tabs>
        <w:ind w:left="0" w:firstLine="0"/>
        <w:jc w:val="both"/>
        <w:rPr>
          <w:rFonts w:asciiTheme="majorHAnsi" w:hAnsiTheme="majorHAnsi"/>
        </w:rPr>
      </w:pPr>
    </w:p>
    <w:p w14:paraId="3C928ABF" w14:textId="77777777" w:rsidR="006F1A78" w:rsidRPr="007C4B78" w:rsidRDefault="006F1A78"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t xml:space="preserve">In 2001 </w:t>
      </w:r>
      <w:r w:rsidR="00D9780B" w:rsidRPr="007C4B78">
        <w:rPr>
          <w:rFonts w:asciiTheme="majorHAnsi" w:hAnsiTheme="majorHAnsi"/>
        </w:rPr>
        <w:t xml:space="preserve">the Supreme Court ruled in Sinnott v. the Minister for Education that the state is </w:t>
      </w:r>
      <w:r w:rsidR="006C4058" w:rsidRPr="007C4B78">
        <w:rPr>
          <w:rFonts w:asciiTheme="majorHAnsi" w:hAnsiTheme="majorHAnsi"/>
        </w:rPr>
        <w:t xml:space="preserve">obliged </w:t>
      </w:r>
      <w:r w:rsidR="00D9780B" w:rsidRPr="007C4B78">
        <w:rPr>
          <w:rFonts w:asciiTheme="majorHAnsi" w:hAnsiTheme="majorHAnsi"/>
        </w:rPr>
        <w:t>to provide primary education to any child up to 18 years of age</w:t>
      </w:r>
      <w:r w:rsidR="006C4058" w:rsidRPr="007C4B78">
        <w:rPr>
          <w:rFonts w:asciiTheme="majorHAnsi" w:hAnsiTheme="majorHAnsi"/>
        </w:rPr>
        <w:t xml:space="preserve">. </w:t>
      </w:r>
      <w:proofErr w:type="gramStart"/>
      <w:r w:rsidR="006C4058" w:rsidRPr="007C4B78">
        <w:rPr>
          <w:rFonts w:asciiTheme="majorHAnsi" w:hAnsiTheme="majorHAnsi"/>
        </w:rPr>
        <w:t>This case</w:t>
      </w:r>
      <w:r w:rsidR="0029139D" w:rsidRPr="007C4B78">
        <w:rPr>
          <w:rFonts w:asciiTheme="majorHAnsi" w:hAnsiTheme="majorHAnsi"/>
        </w:rPr>
        <w:t xml:space="preserve"> </w:t>
      </w:r>
      <w:r w:rsidR="006C4058" w:rsidRPr="007C4B78">
        <w:rPr>
          <w:rFonts w:asciiTheme="majorHAnsi" w:hAnsiTheme="majorHAnsi"/>
        </w:rPr>
        <w:t xml:space="preserve">was </w:t>
      </w:r>
      <w:r w:rsidR="00D9780B" w:rsidRPr="007C4B78">
        <w:rPr>
          <w:rFonts w:asciiTheme="majorHAnsi" w:hAnsiTheme="majorHAnsi"/>
        </w:rPr>
        <w:t>brought by a mother of a child</w:t>
      </w:r>
      <w:proofErr w:type="gramEnd"/>
      <w:r w:rsidR="00D9780B" w:rsidRPr="007C4B78">
        <w:rPr>
          <w:rFonts w:asciiTheme="majorHAnsi" w:hAnsiTheme="majorHAnsi"/>
        </w:rPr>
        <w:t xml:space="preserve"> with autism </w:t>
      </w:r>
      <w:r w:rsidR="006C4058" w:rsidRPr="007C4B78">
        <w:rPr>
          <w:rFonts w:asciiTheme="majorHAnsi" w:hAnsiTheme="majorHAnsi"/>
        </w:rPr>
        <w:t xml:space="preserve">concerning </w:t>
      </w:r>
      <w:r w:rsidR="00D9780B" w:rsidRPr="007C4B78">
        <w:rPr>
          <w:rFonts w:asciiTheme="majorHAnsi" w:hAnsiTheme="majorHAnsi"/>
        </w:rPr>
        <w:t>the lack of educational options</w:t>
      </w:r>
      <w:r w:rsidR="009416CC" w:rsidRPr="007C4B78">
        <w:rPr>
          <w:rFonts w:asciiTheme="majorHAnsi" w:hAnsiTheme="majorHAnsi"/>
        </w:rPr>
        <w:t xml:space="preserve"> for her adult son</w:t>
      </w:r>
      <w:r w:rsidR="00D9780B" w:rsidRPr="007C4B78">
        <w:rPr>
          <w:rFonts w:asciiTheme="majorHAnsi" w:hAnsiTheme="majorHAnsi"/>
        </w:rPr>
        <w:t>.</w:t>
      </w:r>
      <w:r w:rsidR="00D9780B" w:rsidRPr="007C4B78">
        <w:rPr>
          <w:rStyle w:val="FootnoteReference"/>
          <w:rFonts w:asciiTheme="majorHAnsi" w:hAnsiTheme="majorHAnsi"/>
        </w:rPr>
        <w:footnoteReference w:id="43"/>
      </w:r>
      <w:r w:rsidR="006C4058" w:rsidRPr="007C4B78">
        <w:rPr>
          <w:rFonts w:asciiTheme="majorHAnsi" w:hAnsiTheme="majorHAnsi"/>
        </w:rPr>
        <w:t xml:space="preserve"> While the case was important in clarifying </w:t>
      </w:r>
      <w:r w:rsidR="00A74349" w:rsidRPr="007C4B78">
        <w:rPr>
          <w:rFonts w:asciiTheme="majorHAnsi" w:hAnsiTheme="majorHAnsi"/>
        </w:rPr>
        <w:t>that the right to education applies equally to children with cognitive disabilities, it was disappointing that it did not recognise that people with disabilities might have rights to lifelong leaning.</w:t>
      </w:r>
      <w:r w:rsidR="00496E0E" w:rsidRPr="007C4B78">
        <w:rPr>
          <w:rStyle w:val="FootnoteReference"/>
          <w:rFonts w:asciiTheme="majorHAnsi" w:hAnsiTheme="majorHAnsi"/>
        </w:rPr>
        <w:footnoteReference w:id="44"/>
      </w:r>
    </w:p>
    <w:p w14:paraId="5CE19874" w14:textId="77777777" w:rsidR="00D9780B" w:rsidRPr="007C4B78" w:rsidRDefault="00D9780B" w:rsidP="004D12C3">
      <w:pPr>
        <w:pStyle w:val="task"/>
        <w:tabs>
          <w:tab w:val="clear" w:pos="680"/>
          <w:tab w:val="left" w:pos="0"/>
        </w:tabs>
        <w:ind w:left="0" w:firstLine="0"/>
        <w:jc w:val="both"/>
        <w:rPr>
          <w:rFonts w:asciiTheme="majorHAnsi" w:hAnsiTheme="majorHAnsi"/>
        </w:rPr>
      </w:pPr>
    </w:p>
    <w:p w14:paraId="55A27687" w14:textId="77777777" w:rsidR="00205BA6" w:rsidRPr="007C4B78" w:rsidRDefault="00030FD8"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t>Parts of t</w:t>
      </w:r>
      <w:r w:rsidR="006F1A78" w:rsidRPr="007C4B78">
        <w:rPr>
          <w:rFonts w:asciiTheme="majorHAnsi" w:hAnsiTheme="majorHAnsi"/>
        </w:rPr>
        <w:t>he</w:t>
      </w:r>
      <w:r w:rsidR="00AA6AF9" w:rsidRPr="007C4B78">
        <w:rPr>
          <w:rFonts w:asciiTheme="majorHAnsi" w:hAnsiTheme="majorHAnsi"/>
        </w:rPr>
        <w:t xml:space="preserve"> Education for Persons with Special Educational Needs</w:t>
      </w:r>
      <w:r w:rsidR="0029139D" w:rsidRPr="007C4B78">
        <w:rPr>
          <w:rFonts w:asciiTheme="majorHAnsi" w:hAnsiTheme="majorHAnsi"/>
        </w:rPr>
        <w:t xml:space="preserve"> </w:t>
      </w:r>
      <w:r w:rsidR="00AA6AF9" w:rsidRPr="007C4B78">
        <w:rPr>
          <w:rFonts w:asciiTheme="majorHAnsi" w:hAnsiTheme="majorHAnsi"/>
        </w:rPr>
        <w:t>(</w:t>
      </w:r>
      <w:r w:rsidR="006F1A78" w:rsidRPr="007C4B78">
        <w:rPr>
          <w:rFonts w:asciiTheme="majorHAnsi" w:hAnsiTheme="majorHAnsi"/>
        </w:rPr>
        <w:t>EPSEN</w:t>
      </w:r>
      <w:r w:rsidR="00AA6AF9" w:rsidRPr="007C4B78">
        <w:rPr>
          <w:rFonts w:asciiTheme="majorHAnsi" w:hAnsiTheme="majorHAnsi"/>
        </w:rPr>
        <w:t>)</w:t>
      </w:r>
      <w:r w:rsidR="0029139D" w:rsidRPr="007C4B78">
        <w:rPr>
          <w:rFonts w:asciiTheme="majorHAnsi" w:hAnsiTheme="majorHAnsi"/>
        </w:rPr>
        <w:t xml:space="preserve"> </w:t>
      </w:r>
      <w:r w:rsidR="00AA6AF9" w:rsidRPr="007C4B78">
        <w:rPr>
          <w:rFonts w:asciiTheme="majorHAnsi" w:hAnsiTheme="majorHAnsi"/>
        </w:rPr>
        <w:t>A</w:t>
      </w:r>
      <w:r w:rsidR="006F1A78" w:rsidRPr="007C4B78">
        <w:rPr>
          <w:rFonts w:asciiTheme="majorHAnsi" w:hAnsiTheme="majorHAnsi"/>
        </w:rPr>
        <w:t>ct came in</w:t>
      </w:r>
      <w:r w:rsidR="00AA6AF9" w:rsidRPr="007C4B78">
        <w:rPr>
          <w:rFonts w:asciiTheme="majorHAnsi" w:hAnsiTheme="majorHAnsi"/>
        </w:rPr>
        <w:t>to force in</w:t>
      </w:r>
      <w:r w:rsidR="006F1A78" w:rsidRPr="007C4B78">
        <w:rPr>
          <w:rFonts w:asciiTheme="majorHAnsi" w:hAnsiTheme="majorHAnsi"/>
        </w:rPr>
        <w:t xml:space="preserve"> 2004 to address the provision of education to persons with special needs. The ESPEN Act primarily references the rights of the parent to amend, appeal and be involved in the assessment and education plan of the child.</w:t>
      </w:r>
      <w:r w:rsidR="006F1A78" w:rsidRPr="007C4B78">
        <w:rPr>
          <w:rStyle w:val="FootnoteReference"/>
          <w:rFonts w:asciiTheme="majorHAnsi" w:hAnsiTheme="majorHAnsi"/>
        </w:rPr>
        <w:footnoteReference w:id="45"/>
      </w:r>
      <w:r w:rsidR="00205BA6" w:rsidRPr="007C4B78">
        <w:rPr>
          <w:rFonts w:asciiTheme="majorHAnsi" w:hAnsiTheme="majorHAnsi"/>
        </w:rPr>
        <w:t xml:space="preserve">The ESPEN Act also states that </w:t>
      </w:r>
      <w:r w:rsidR="00F07649" w:rsidRPr="007C4B78">
        <w:rPr>
          <w:rFonts w:asciiTheme="majorHAnsi" w:hAnsiTheme="majorHAnsi"/>
        </w:rPr>
        <w:t xml:space="preserve">inclusive </w:t>
      </w:r>
      <w:r w:rsidR="00205BA6" w:rsidRPr="007C4B78">
        <w:rPr>
          <w:rFonts w:asciiTheme="majorHAnsi" w:hAnsiTheme="majorHAnsi"/>
        </w:rPr>
        <w:t xml:space="preserve">education for children with special needs should occur unless it is not in the best </w:t>
      </w:r>
      <w:r w:rsidR="00F07649" w:rsidRPr="007C4B78">
        <w:rPr>
          <w:rFonts w:asciiTheme="majorHAnsi" w:hAnsiTheme="majorHAnsi"/>
        </w:rPr>
        <w:t xml:space="preserve">interests </w:t>
      </w:r>
      <w:r w:rsidR="00205BA6" w:rsidRPr="007C4B78">
        <w:rPr>
          <w:rFonts w:asciiTheme="majorHAnsi" w:hAnsiTheme="majorHAnsi"/>
        </w:rPr>
        <w:t xml:space="preserve">of the child or </w:t>
      </w:r>
      <w:r w:rsidR="00205BA6" w:rsidRPr="007C4B78">
        <w:rPr>
          <w:rFonts w:asciiTheme="majorHAnsi" w:hAnsiTheme="majorHAnsi"/>
        </w:rPr>
        <w:lastRenderedPageBreak/>
        <w:t>would hamper the “effective provision of education” for other children.</w:t>
      </w:r>
      <w:r w:rsidR="00205BA6" w:rsidRPr="007C4B78">
        <w:rPr>
          <w:rStyle w:val="FootnoteReference"/>
          <w:rFonts w:asciiTheme="majorHAnsi" w:hAnsiTheme="majorHAnsi"/>
        </w:rPr>
        <w:footnoteReference w:id="46"/>
      </w:r>
      <w:r w:rsidR="00B75493" w:rsidRPr="007C4B78">
        <w:rPr>
          <w:rFonts w:asciiTheme="majorHAnsi" w:hAnsiTheme="majorHAnsi"/>
        </w:rPr>
        <w:t xml:space="preserve"> Despite the passage of the </w:t>
      </w:r>
      <w:r w:rsidR="00F07649" w:rsidRPr="007C4B78">
        <w:rPr>
          <w:rFonts w:asciiTheme="majorHAnsi" w:hAnsiTheme="majorHAnsi"/>
        </w:rPr>
        <w:t>A</w:t>
      </w:r>
      <w:r w:rsidR="00B75493" w:rsidRPr="007C4B78">
        <w:rPr>
          <w:rFonts w:asciiTheme="majorHAnsi" w:hAnsiTheme="majorHAnsi"/>
        </w:rPr>
        <w:t>ct in 2004 t</w:t>
      </w:r>
      <w:r w:rsidR="00205BA6" w:rsidRPr="007C4B78">
        <w:rPr>
          <w:rFonts w:asciiTheme="majorHAnsi" w:hAnsiTheme="majorHAnsi"/>
        </w:rPr>
        <w:t xml:space="preserve">he following sections </w:t>
      </w:r>
      <w:r w:rsidR="00406F80" w:rsidRPr="007C4B78">
        <w:rPr>
          <w:rFonts w:asciiTheme="majorHAnsi" w:hAnsiTheme="majorHAnsi"/>
        </w:rPr>
        <w:t xml:space="preserve">of the EPSEN act </w:t>
      </w:r>
      <w:r w:rsidR="00B75493" w:rsidRPr="007C4B78">
        <w:rPr>
          <w:rFonts w:asciiTheme="majorHAnsi" w:hAnsiTheme="majorHAnsi"/>
        </w:rPr>
        <w:t>have not been implemented</w:t>
      </w:r>
      <w:r w:rsidR="00205BA6" w:rsidRPr="007C4B78">
        <w:rPr>
          <w:rFonts w:asciiTheme="majorHAnsi" w:hAnsiTheme="majorHAnsi"/>
        </w:rPr>
        <w:t>: sections 3 to 13, 14(1)(b), 14(1)(d), 14(1)(e), 14(1)(f), 15 to 18, 38 and 39.</w:t>
      </w:r>
      <w:r w:rsidR="00205BA6" w:rsidRPr="007C4B78">
        <w:rPr>
          <w:rStyle w:val="FootnoteReference"/>
          <w:rFonts w:asciiTheme="majorHAnsi" w:hAnsiTheme="majorHAnsi"/>
        </w:rPr>
        <w:footnoteReference w:id="47"/>
      </w:r>
      <w:r w:rsidR="00205BA6" w:rsidRPr="007C4B78">
        <w:rPr>
          <w:rFonts w:asciiTheme="majorHAnsi" w:hAnsiTheme="majorHAnsi"/>
        </w:rPr>
        <w:t xml:space="preserve"> These sections include the implementation of individual education plans, making teachers aware of</w:t>
      </w:r>
      <w:r w:rsidR="00C17850" w:rsidRPr="007C4B78">
        <w:rPr>
          <w:rFonts w:asciiTheme="majorHAnsi" w:hAnsiTheme="majorHAnsi"/>
        </w:rPr>
        <w:t xml:space="preserve"> the</w:t>
      </w:r>
      <w:r w:rsidR="00205BA6" w:rsidRPr="007C4B78">
        <w:rPr>
          <w:rFonts w:asciiTheme="majorHAnsi" w:hAnsiTheme="majorHAnsi"/>
        </w:rPr>
        <w:t xml:space="preserve"> special education needs of students and the importance of identifying children and students who have special education needs, creating disability awareness in schools, the special educational needs organiser, ascertaining the wishes of the child concerned, designation of liaison officers by </w:t>
      </w:r>
      <w:r w:rsidR="00C17850" w:rsidRPr="007C4B78">
        <w:rPr>
          <w:rFonts w:asciiTheme="majorHAnsi" w:hAnsiTheme="majorHAnsi"/>
        </w:rPr>
        <w:t xml:space="preserve">National Council for </w:t>
      </w:r>
      <w:r w:rsidR="00205BA6" w:rsidRPr="007C4B78">
        <w:rPr>
          <w:rFonts w:asciiTheme="majorHAnsi" w:hAnsiTheme="majorHAnsi"/>
        </w:rPr>
        <w:t xml:space="preserve">Special Education and </w:t>
      </w:r>
      <w:r w:rsidR="00F07649" w:rsidRPr="007C4B78">
        <w:rPr>
          <w:rFonts w:asciiTheme="majorHAnsi" w:hAnsiTheme="majorHAnsi"/>
        </w:rPr>
        <w:t>the Health Service Executive</w:t>
      </w:r>
      <w:r w:rsidR="00205BA6" w:rsidRPr="007C4B78">
        <w:rPr>
          <w:rFonts w:asciiTheme="majorHAnsi" w:hAnsiTheme="majorHAnsi"/>
        </w:rPr>
        <w:t>.</w:t>
      </w:r>
    </w:p>
    <w:p w14:paraId="54A9F175" w14:textId="77777777" w:rsidR="00087D56" w:rsidRPr="007C4B78" w:rsidRDefault="00087D56" w:rsidP="004D12C3">
      <w:pPr>
        <w:pStyle w:val="task"/>
        <w:tabs>
          <w:tab w:val="clear" w:pos="680"/>
          <w:tab w:val="left" w:pos="0"/>
        </w:tabs>
        <w:jc w:val="both"/>
        <w:rPr>
          <w:rFonts w:asciiTheme="majorHAnsi" w:hAnsiTheme="majorHAnsi"/>
        </w:rPr>
      </w:pPr>
    </w:p>
    <w:p w14:paraId="16A0FC3C" w14:textId="77777777" w:rsidR="009E553D" w:rsidRPr="007C4B78" w:rsidRDefault="002C7222"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t xml:space="preserve">Under the EPSEN </w:t>
      </w:r>
      <w:r w:rsidR="00C17850" w:rsidRPr="007C4B78">
        <w:rPr>
          <w:rFonts w:asciiTheme="majorHAnsi" w:hAnsiTheme="majorHAnsi"/>
        </w:rPr>
        <w:t>A</w:t>
      </w:r>
      <w:r w:rsidRPr="007C4B78">
        <w:rPr>
          <w:rFonts w:asciiTheme="majorHAnsi" w:hAnsiTheme="majorHAnsi"/>
        </w:rPr>
        <w:t xml:space="preserve">ct the National Council for Special Education, originally established in 2003, </w:t>
      </w:r>
      <w:r w:rsidR="005D1939" w:rsidRPr="007C4B78">
        <w:rPr>
          <w:rFonts w:asciiTheme="majorHAnsi" w:hAnsiTheme="majorHAnsi"/>
        </w:rPr>
        <w:t>was given power to assess and review the resources required to provide education for children with special education needs.</w:t>
      </w:r>
      <w:r w:rsidR="005D1939" w:rsidRPr="007C4B78">
        <w:rPr>
          <w:rStyle w:val="FootnoteReference"/>
          <w:rFonts w:asciiTheme="majorHAnsi" w:hAnsiTheme="majorHAnsi"/>
        </w:rPr>
        <w:footnoteReference w:id="48"/>
      </w:r>
      <w:r w:rsidR="00B06C29" w:rsidRPr="007C4B78">
        <w:rPr>
          <w:rFonts w:asciiTheme="majorHAnsi" w:hAnsiTheme="majorHAnsi"/>
        </w:rPr>
        <w:t xml:space="preserve"> The Act also established the Special Education Appeals Board</w:t>
      </w:r>
      <w:r w:rsidR="009116CA" w:rsidRPr="007C4B78">
        <w:rPr>
          <w:rFonts w:asciiTheme="majorHAnsi" w:hAnsiTheme="majorHAnsi"/>
        </w:rPr>
        <w:t xml:space="preserve"> (SEAB)</w:t>
      </w:r>
      <w:r w:rsidR="00667C5F" w:rsidRPr="007C4B78">
        <w:rPr>
          <w:rFonts w:asciiTheme="majorHAnsi" w:hAnsiTheme="majorHAnsi"/>
        </w:rPr>
        <w:t>, which i</w:t>
      </w:r>
      <w:r w:rsidR="00B06C29" w:rsidRPr="007C4B78">
        <w:rPr>
          <w:rFonts w:asciiTheme="majorHAnsi" w:hAnsiTheme="majorHAnsi"/>
        </w:rPr>
        <w:t>s empowered to hear complaints and appeals related to the EPSEN Act.</w:t>
      </w:r>
      <w:r w:rsidR="00B06C29" w:rsidRPr="007C4B78">
        <w:rPr>
          <w:rStyle w:val="FootnoteReference"/>
          <w:rFonts w:asciiTheme="majorHAnsi" w:hAnsiTheme="majorHAnsi"/>
        </w:rPr>
        <w:footnoteReference w:id="49"/>
      </w:r>
      <w:r w:rsidR="009116CA" w:rsidRPr="007C4B78">
        <w:rPr>
          <w:rFonts w:asciiTheme="majorHAnsi" w:hAnsiTheme="majorHAnsi"/>
        </w:rPr>
        <w:t>As noted in Inclusion Ireland’s 2013 position paper on the National Disability Strategy the SEAB never heard an appeal since its establishment and when the term of the board ended in 2010 no new board was appointed in its place.</w:t>
      </w:r>
      <w:r w:rsidR="009116CA" w:rsidRPr="007C4B78">
        <w:rPr>
          <w:rStyle w:val="FootnoteReference"/>
          <w:rFonts w:asciiTheme="majorHAnsi" w:hAnsiTheme="majorHAnsi"/>
        </w:rPr>
        <w:footnoteReference w:id="50"/>
      </w:r>
    </w:p>
    <w:p w14:paraId="38F93E66" w14:textId="77777777" w:rsidR="002C7222" w:rsidRPr="007C4B78" w:rsidRDefault="002C7222" w:rsidP="004D12C3">
      <w:pPr>
        <w:pStyle w:val="task"/>
        <w:tabs>
          <w:tab w:val="clear" w:pos="680"/>
          <w:tab w:val="left" w:pos="0"/>
        </w:tabs>
        <w:jc w:val="both"/>
        <w:rPr>
          <w:rFonts w:asciiTheme="majorHAnsi" w:hAnsiTheme="majorHAnsi"/>
        </w:rPr>
      </w:pPr>
    </w:p>
    <w:p w14:paraId="4CDB9629" w14:textId="77777777" w:rsidR="003F40BF" w:rsidRPr="007C4B78" w:rsidRDefault="009B2641"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t>Unsurprisingly, o</w:t>
      </w:r>
      <w:r w:rsidR="00205BA6" w:rsidRPr="007C4B78">
        <w:rPr>
          <w:rFonts w:asciiTheme="majorHAnsi" w:hAnsiTheme="majorHAnsi"/>
        </w:rPr>
        <w:t>ne expert on child law stated</w:t>
      </w:r>
      <w:r w:rsidR="00E5138D" w:rsidRPr="007C4B78">
        <w:rPr>
          <w:rFonts w:asciiTheme="majorHAnsi" w:hAnsiTheme="majorHAnsi"/>
        </w:rPr>
        <w:t xml:space="preserve"> in an interview for this project</w:t>
      </w:r>
      <w:r w:rsidR="00205BA6" w:rsidRPr="007C4B78">
        <w:rPr>
          <w:rFonts w:asciiTheme="majorHAnsi" w:hAnsiTheme="majorHAnsi"/>
        </w:rPr>
        <w:t xml:space="preserve"> that in general decisions</w:t>
      </w:r>
      <w:r w:rsidR="00E5138D" w:rsidRPr="007C4B78">
        <w:rPr>
          <w:rFonts w:asciiTheme="majorHAnsi" w:hAnsiTheme="majorHAnsi"/>
        </w:rPr>
        <w:t>-</w:t>
      </w:r>
      <w:r w:rsidR="00205BA6" w:rsidRPr="007C4B78">
        <w:rPr>
          <w:rFonts w:asciiTheme="majorHAnsi" w:hAnsiTheme="majorHAnsi"/>
        </w:rPr>
        <w:t xml:space="preserve">makers </w:t>
      </w:r>
      <w:r w:rsidR="00E62EAD" w:rsidRPr="007C4B78">
        <w:rPr>
          <w:rFonts w:asciiTheme="majorHAnsi" w:hAnsiTheme="majorHAnsi"/>
        </w:rPr>
        <w:t>do not make</w:t>
      </w:r>
      <w:r w:rsidR="00470197" w:rsidRPr="007C4B78">
        <w:rPr>
          <w:rFonts w:asciiTheme="majorHAnsi" w:hAnsiTheme="majorHAnsi"/>
        </w:rPr>
        <w:t xml:space="preserve"> serious efforts </w:t>
      </w:r>
      <w:r w:rsidR="00205BA6" w:rsidRPr="007C4B78">
        <w:rPr>
          <w:rFonts w:asciiTheme="majorHAnsi" w:hAnsiTheme="majorHAnsi"/>
        </w:rPr>
        <w:t xml:space="preserve">to </w:t>
      </w:r>
      <w:r w:rsidR="00470197" w:rsidRPr="007C4B78">
        <w:rPr>
          <w:rFonts w:asciiTheme="majorHAnsi" w:hAnsiTheme="majorHAnsi"/>
        </w:rPr>
        <w:t>ascertain</w:t>
      </w:r>
      <w:r w:rsidR="00E5138D" w:rsidRPr="007C4B78">
        <w:rPr>
          <w:rFonts w:asciiTheme="majorHAnsi" w:hAnsiTheme="majorHAnsi"/>
        </w:rPr>
        <w:t xml:space="preserve"> the views of </w:t>
      </w:r>
      <w:r w:rsidR="00205BA6" w:rsidRPr="007C4B78">
        <w:rPr>
          <w:rFonts w:asciiTheme="majorHAnsi" w:hAnsiTheme="majorHAnsi"/>
        </w:rPr>
        <w:t>children with disabilities</w:t>
      </w:r>
      <w:r w:rsidR="00E5138D" w:rsidRPr="007C4B78">
        <w:rPr>
          <w:rFonts w:asciiTheme="majorHAnsi" w:hAnsiTheme="majorHAnsi"/>
        </w:rPr>
        <w:t xml:space="preserve"> directly</w:t>
      </w:r>
      <w:r w:rsidR="00205BA6" w:rsidRPr="007C4B78">
        <w:rPr>
          <w:rFonts w:asciiTheme="majorHAnsi" w:hAnsiTheme="majorHAnsi"/>
        </w:rPr>
        <w:t xml:space="preserve"> and</w:t>
      </w:r>
      <w:r w:rsidR="00E62EAD" w:rsidRPr="007C4B78">
        <w:rPr>
          <w:rFonts w:asciiTheme="majorHAnsi" w:hAnsiTheme="majorHAnsi"/>
        </w:rPr>
        <w:t xml:space="preserve"> that</w:t>
      </w:r>
      <w:r w:rsidR="0005445C" w:rsidRPr="007C4B78">
        <w:rPr>
          <w:rFonts w:asciiTheme="majorHAnsi" w:hAnsiTheme="majorHAnsi"/>
        </w:rPr>
        <w:t xml:space="preserve">the level of the child’s involvement </w:t>
      </w:r>
      <w:r w:rsidR="00205BA6" w:rsidRPr="007C4B78">
        <w:rPr>
          <w:rFonts w:asciiTheme="majorHAnsi" w:hAnsiTheme="majorHAnsi"/>
        </w:rPr>
        <w:t>instead tends to depend on the parents’ ability to advocate.</w:t>
      </w:r>
      <w:r w:rsidR="00205BA6" w:rsidRPr="007C4B78">
        <w:rPr>
          <w:rStyle w:val="FootnoteReference"/>
          <w:rFonts w:asciiTheme="majorHAnsi" w:hAnsiTheme="majorHAnsi"/>
        </w:rPr>
        <w:footnoteReference w:id="51"/>
      </w:r>
    </w:p>
    <w:p w14:paraId="1F1C8B32" w14:textId="77777777" w:rsidR="00F5694A" w:rsidRPr="007C4B78" w:rsidRDefault="006235AF" w:rsidP="004D12C3">
      <w:pPr>
        <w:pStyle w:val="Heading2"/>
        <w:jc w:val="both"/>
        <w:rPr>
          <w:rFonts w:asciiTheme="majorHAnsi" w:hAnsiTheme="majorHAnsi"/>
        </w:rPr>
      </w:pPr>
      <w:bookmarkStart w:id="21" w:name="_Toc417303148"/>
      <w:r w:rsidRPr="007C4B78">
        <w:rPr>
          <w:rFonts w:asciiTheme="majorHAnsi" w:hAnsiTheme="majorHAnsi"/>
        </w:rPr>
        <w:t>Barriers</w:t>
      </w:r>
      <w:bookmarkEnd w:id="21"/>
    </w:p>
    <w:p w14:paraId="2514D103" w14:textId="77777777" w:rsidR="00FE3637" w:rsidRPr="007C4B78" w:rsidRDefault="00FE3637" w:rsidP="004D12C3">
      <w:pPr>
        <w:jc w:val="both"/>
      </w:pPr>
      <w:r w:rsidRPr="007C4B78">
        <w:t>The key barriers identified by parents interviewed for this report in securing access to justice for children with cognitive disabilities in decisions about education included the timeframe for complaints, delay</w:t>
      </w:r>
      <w:r w:rsidR="00431DFC" w:rsidRPr="007C4B78">
        <w:t xml:space="preserve"> and complexity</w:t>
      </w:r>
      <w:r w:rsidR="0029139D" w:rsidRPr="007C4B78">
        <w:t xml:space="preserve"> </w:t>
      </w:r>
      <w:r w:rsidR="00431DFC" w:rsidRPr="007C4B78">
        <w:t>of</w:t>
      </w:r>
      <w:r w:rsidRPr="007C4B78">
        <w:t xml:space="preserve"> hearing processes, lack of support to make a complaint</w:t>
      </w:r>
      <w:r w:rsidR="00431DFC" w:rsidRPr="007C4B78">
        <w:t>, and retaliation for complaints made.</w:t>
      </w:r>
    </w:p>
    <w:p w14:paraId="2AA31D62" w14:textId="77777777" w:rsidR="009E553D" w:rsidRPr="007C4B78" w:rsidRDefault="009E553D" w:rsidP="004D12C3">
      <w:pPr>
        <w:jc w:val="both"/>
      </w:pPr>
    </w:p>
    <w:p w14:paraId="4EAB0268" w14:textId="77777777" w:rsidR="00F5694A" w:rsidRPr="007C4B78" w:rsidRDefault="00F5694A" w:rsidP="004D12C3">
      <w:pPr>
        <w:pStyle w:val="ColorfulList-Accent11"/>
        <w:ind w:left="0"/>
        <w:jc w:val="both"/>
        <w:rPr>
          <w:rFonts w:asciiTheme="majorHAnsi" w:hAnsiTheme="majorHAnsi"/>
        </w:rPr>
      </w:pPr>
      <w:r w:rsidRPr="007C4B78">
        <w:rPr>
          <w:rFonts w:asciiTheme="majorHAnsi" w:hAnsiTheme="majorHAnsi"/>
        </w:rPr>
        <w:t xml:space="preserve">One parent interviewed said that </w:t>
      </w:r>
      <w:r w:rsidR="00223282" w:rsidRPr="007C4B78">
        <w:rPr>
          <w:rFonts w:asciiTheme="majorHAnsi" w:hAnsiTheme="majorHAnsi"/>
        </w:rPr>
        <w:t>she</w:t>
      </w:r>
      <w:r w:rsidRPr="007C4B78">
        <w:rPr>
          <w:rFonts w:asciiTheme="majorHAnsi" w:hAnsiTheme="majorHAnsi"/>
        </w:rPr>
        <w:t xml:space="preserve"> had brought a case to the </w:t>
      </w:r>
      <w:r w:rsidR="00223282" w:rsidRPr="007C4B78">
        <w:rPr>
          <w:rFonts w:asciiTheme="majorHAnsi" w:hAnsiTheme="majorHAnsi"/>
        </w:rPr>
        <w:t>E</w:t>
      </w:r>
      <w:r w:rsidRPr="007C4B78">
        <w:rPr>
          <w:rFonts w:asciiTheme="majorHAnsi" w:hAnsiTheme="majorHAnsi"/>
        </w:rPr>
        <w:t xml:space="preserve">quality </w:t>
      </w:r>
      <w:r w:rsidR="00223282" w:rsidRPr="007C4B78">
        <w:rPr>
          <w:rFonts w:asciiTheme="majorHAnsi" w:hAnsiTheme="majorHAnsi"/>
        </w:rPr>
        <w:t>T</w:t>
      </w:r>
      <w:r w:rsidRPr="007C4B78">
        <w:rPr>
          <w:rFonts w:asciiTheme="majorHAnsi" w:hAnsiTheme="majorHAnsi"/>
        </w:rPr>
        <w:t>ribunal about her child being excluded on the basis of disability from a st</w:t>
      </w:r>
      <w:r w:rsidR="00626E1E" w:rsidRPr="007C4B78">
        <w:rPr>
          <w:rFonts w:asciiTheme="majorHAnsi" w:hAnsiTheme="majorHAnsi"/>
        </w:rPr>
        <w:t xml:space="preserve">ate funded </w:t>
      </w:r>
      <w:r w:rsidR="00626E1E" w:rsidRPr="007C4B78">
        <w:rPr>
          <w:rFonts w:asciiTheme="majorHAnsi" w:hAnsiTheme="majorHAnsi"/>
        </w:rPr>
        <w:lastRenderedPageBreak/>
        <w:t xml:space="preserve">drama group </w:t>
      </w:r>
      <w:r w:rsidRPr="007C4B78">
        <w:rPr>
          <w:rFonts w:asciiTheme="majorHAnsi" w:hAnsiTheme="majorHAnsi"/>
        </w:rPr>
        <w:t>but had heard no response regarding her complaint since she initiated the process over a year ago.</w:t>
      </w:r>
      <w:r w:rsidRPr="007C4B78">
        <w:rPr>
          <w:rStyle w:val="FootnoteReference"/>
          <w:rFonts w:asciiTheme="majorHAnsi" w:hAnsiTheme="majorHAnsi"/>
        </w:rPr>
        <w:footnoteReference w:id="52"/>
      </w:r>
    </w:p>
    <w:p w14:paraId="11882667" w14:textId="77777777" w:rsidR="003A6ED1" w:rsidRPr="007C4B78" w:rsidRDefault="003A6ED1" w:rsidP="004D12C3">
      <w:pPr>
        <w:pStyle w:val="ColorfulList-Accent11"/>
        <w:ind w:left="0"/>
        <w:jc w:val="both"/>
        <w:rPr>
          <w:rFonts w:asciiTheme="majorHAnsi" w:hAnsiTheme="majorHAnsi"/>
        </w:rPr>
      </w:pPr>
    </w:p>
    <w:p w14:paraId="2F35EFFF" w14:textId="77777777" w:rsidR="007B05AD" w:rsidRPr="007C4B78" w:rsidRDefault="00B72D34" w:rsidP="004D12C3">
      <w:pPr>
        <w:pStyle w:val="ColorfulList-Accent11"/>
        <w:ind w:left="0"/>
        <w:jc w:val="both"/>
        <w:rPr>
          <w:rFonts w:asciiTheme="majorHAnsi" w:hAnsiTheme="majorHAnsi"/>
        </w:rPr>
      </w:pPr>
      <w:r w:rsidRPr="007C4B78">
        <w:rPr>
          <w:rFonts w:asciiTheme="majorHAnsi" w:hAnsiTheme="majorHAnsi"/>
        </w:rPr>
        <w:t xml:space="preserve">Two parents spoke of children being excluded from mainstream schools because of “health and safety concerns” which they </w:t>
      </w:r>
      <w:r w:rsidR="00656320" w:rsidRPr="007C4B78">
        <w:rPr>
          <w:rFonts w:asciiTheme="majorHAnsi" w:hAnsiTheme="majorHAnsi"/>
        </w:rPr>
        <w:t>found very hard to contest</w:t>
      </w:r>
      <w:r w:rsidRPr="007C4B78">
        <w:rPr>
          <w:rFonts w:asciiTheme="majorHAnsi" w:hAnsiTheme="majorHAnsi"/>
        </w:rPr>
        <w:t>.</w:t>
      </w:r>
      <w:r w:rsidRPr="007C4B78">
        <w:rPr>
          <w:rStyle w:val="FootnoteReference"/>
          <w:rFonts w:asciiTheme="majorHAnsi" w:hAnsiTheme="majorHAnsi"/>
        </w:rPr>
        <w:footnoteReference w:id="53"/>
      </w:r>
      <w:r w:rsidR="00656320" w:rsidRPr="007C4B78">
        <w:rPr>
          <w:rFonts w:asciiTheme="majorHAnsi" w:hAnsiTheme="majorHAnsi"/>
        </w:rPr>
        <w:t xml:space="preserve"> One</w:t>
      </w:r>
      <w:r w:rsidR="007B05AD" w:rsidRPr="007C4B78">
        <w:rPr>
          <w:rFonts w:asciiTheme="majorHAnsi" w:hAnsiTheme="majorHAnsi"/>
        </w:rPr>
        <w:t xml:space="preserve"> mother said she knew of other parents in similar situations who were unable to find a school placement for their child.</w:t>
      </w:r>
      <w:r w:rsidR="005662FA" w:rsidRPr="007C4B78">
        <w:rPr>
          <w:rStyle w:val="FootnoteReference"/>
          <w:rFonts w:asciiTheme="majorHAnsi" w:hAnsiTheme="majorHAnsi"/>
        </w:rPr>
        <w:footnoteReference w:id="54"/>
      </w:r>
    </w:p>
    <w:p w14:paraId="4344D46A" w14:textId="77777777" w:rsidR="007B05AD" w:rsidRPr="007C4B78" w:rsidRDefault="007B05AD" w:rsidP="004D12C3">
      <w:pPr>
        <w:pStyle w:val="ColorfulList-Accent11"/>
        <w:ind w:left="0"/>
        <w:jc w:val="both"/>
        <w:rPr>
          <w:rFonts w:asciiTheme="majorHAnsi" w:hAnsiTheme="majorHAnsi"/>
        </w:rPr>
      </w:pPr>
    </w:p>
    <w:p w14:paraId="4295CAFD" w14:textId="77777777" w:rsidR="00C82D83" w:rsidRPr="007C4B78" w:rsidRDefault="00D24476" w:rsidP="004D12C3">
      <w:pPr>
        <w:pStyle w:val="ColorfulList-Accent11"/>
        <w:ind w:left="0"/>
        <w:jc w:val="both"/>
        <w:rPr>
          <w:rFonts w:asciiTheme="majorHAnsi" w:hAnsiTheme="majorHAnsi"/>
        </w:rPr>
      </w:pPr>
      <w:r w:rsidRPr="007C4B78">
        <w:rPr>
          <w:rFonts w:asciiTheme="majorHAnsi" w:hAnsiTheme="majorHAnsi"/>
        </w:rPr>
        <w:t xml:space="preserve">All in all </w:t>
      </w:r>
      <w:r w:rsidR="00C82D83" w:rsidRPr="007C4B78">
        <w:rPr>
          <w:rFonts w:asciiTheme="majorHAnsi" w:hAnsiTheme="majorHAnsi"/>
        </w:rPr>
        <w:t xml:space="preserve">three </w:t>
      </w:r>
      <w:r w:rsidR="00656320" w:rsidRPr="007C4B78">
        <w:rPr>
          <w:rFonts w:asciiTheme="majorHAnsi" w:hAnsiTheme="majorHAnsi"/>
        </w:rPr>
        <w:t>of the five parents we interviewed spoke of difficulties in finding mainstream schools for their children with cognitive disabilities</w:t>
      </w:r>
      <w:r w:rsidRPr="007C4B78">
        <w:rPr>
          <w:rStyle w:val="FootnoteReference"/>
          <w:rFonts w:asciiTheme="majorHAnsi" w:hAnsiTheme="majorHAnsi"/>
        </w:rPr>
        <w:footnoteReference w:id="55"/>
      </w:r>
      <w:r w:rsidR="00656320" w:rsidRPr="007C4B78">
        <w:rPr>
          <w:rFonts w:asciiTheme="majorHAnsi" w:hAnsiTheme="majorHAnsi"/>
        </w:rPr>
        <w:t xml:space="preserve"> and three of the five parents spoke of difficulties accessing appropriate supports and </w:t>
      </w:r>
      <w:r w:rsidRPr="007C4B78">
        <w:rPr>
          <w:rFonts w:asciiTheme="majorHAnsi" w:hAnsiTheme="majorHAnsi"/>
        </w:rPr>
        <w:t>accommodations either from the school directly or through the HSE</w:t>
      </w:r>
      <w:r w:rsidR="00656320" w:rsidRPr="007C4B78">
        <w:rPr>
          <w:rFonts w:asciiTheme="majorHAnsi" w:hAnsiTheme="majorHAnsi"/>
        </w:rPr>
        <w:t>.</w:t>
      </w:r>
      <w:r w:rsidRPr="007C4B78">
        <w:rPr>
          <w:rStyle w:val="FootnoteReference"/>
          <w:rFonts w:asciiTheme="majorHAnsi" w:hAnsiTheme="majorHAnsi"/>
        </w:rPr>
        <w:footnoteReference w:id="56"/>
      </w:r>
      <w:r w:rsidR="00EB480D" w:rsidRPr="007C4B78">
        <w:rPr>
          <w:rFonts w:asciiTheme="majorHAnsi" w:hAnsiTheme="majorHAnsi"/>
        </w:rPr>
        <w:t xml:space="preserve"> This dissatisfaction in </w:t>
      </w:r>
      <w:r w:rsidR="005606F8" w:rsidRPr="007C4B78">
        <w:rPr>
          <w:rFonts w:asciiTheme="majorHAnsi" w:hAnsiTheme="majorHAnsi"/>
        </w:rPr>
        <w:t>the process of applying for supports was also found in a large survey used by the National Council for Special Education.</w:t>
      </w:r>
      <w:r w:rsidR="005606F8" w:rsidRPr="007C4B78">
        <w:rPr>
          <w:rStyle w:val="FootnoteReference"/>
          <w:rFonts w:asciiTheme="majorHAnsi" w:hAnsiTheme="majorHAnsi"/>
        </w:rPr>
        <w:footnoteReference w:id="57"/>
      </w:r>
    </w:p>
    <w:p w14:paraId="079915A5" w14:textId="77777777" w:rsidR="00C82D83" w:rsidRPr="007C4B78" w:rsidRDefault="00C82D83" w:rsidP="004D12C3">
      <w:pPr>
        <w:pStyle w:val="ColorfulList-Accent11"/>
        <w:ind w:left="0"/>
        <w:jc w:val="both"/>
        <w:rPr>
          <w:rFonts w:asciiTheme="majorHAnsi" w:hAnsiTheme="majorHAnsi"/>
        </w:rPr>
      </w:pPr>
    </w:p>
    <w:p w14:paraId="16E0043B" w14:textId="77777777" w:rsidR="00C82D83" w:rsidRPr="007C4B78" w:rsidRDefault="00C82D83" w:rsidP="004D12C3">
      <w:pPr>
        <w:pStyle w:val="ColorfulList-Accent11"/>
        <w:ind w:left="0"/>
        <w:jc w:val="both"/>
        <w:rPr>
          <w:rFonts w:asciiTheme="majorHAnsi" w:hAnsiTheme="majorHAnsi"/>
        </w:rPr>
      </w:pPr>
      <w:r w:rsidRPr="007C4B78">
        <w:rPr>
          <w:rFonts w:asciiTheme="majorHAnsi" w:hAnsiTheme="majorHAnsi"/>
        </w:rPr>
        <w:t>Two of the parents said it was more difficult to get mainstream schooling in secondary school than primary school.</w:t>
      </w:r>
      <w:r w:rsidRPr="007C4B78">
        <w:rPr>
          <w:rStyle w:val="FootnoteReference"/>
          <w:rFonts w:asciiTheme="majorHAnsi" w:hAnsiTheme="majorHAnsi"/>
        </w:rPr>
        <w:footnoteReference w:id="58"/>
      </w:r>
      <w:r w:rsidRPr="007C4B78">
        <w:rPr>
          <w:rFonts w:asciiTheme="majorHAnsi" w:hAnsiTheme="majorHAnsi"/>
        </w:rPr>
        <w:t>“When your child is small and cute and appealing people will help you. When your child reaches teenage years and is telling professionals to fuck-off they don’t want to know.”</w:t>
      </w:r>
      <w:r w:rsidRPr="007C4B78">
        <w:rPr>
          <w:rStyle w:val="FootnoteReference"/>
          <w:rFonts w:asciiTheme="majorHAnsi" w:hAnsiTheme="majorHAnsi"/>
        </w:rPr>
        <w:footnoteReference w:id="59"/>
      </w:r>
      <w:r w:rsidR="000A2971" w:rsidRPr="007C4B78">
        <w:rPr>
          <w:rFonts w:asciiTheme="majorHAnsi" w:hAnsiTheme="majorHAnsi"/>
        </w:rPr>
        <w:t xml:space="preserve"> Lack of access to mainstream schooling for children with cognitive disabilities was </w:t>
      </w:r>
      <w:r w:rsidR="002D46C0" w:rsidRPr="007C4B78">
        <w:rPr>
          <w:rFonts w:asciiTheme="majorHAnsi" w:hAnsiTheme="majorHAnsi"/>
        </w:rPr>
        <w:t>also addressed</w:t>
      </w:r>
      <w:r w:rsidR="000A2971" w:rsidRPr="007C4B78">
        <w:rPr>
          <w:rFonts w:asciiTheme="majorHAnsi" w:hAnsiTheme="majorHAnsi"/>
        </w:rPr>
        <w:t xml:space="preserve"> in a presentation to the Joint Committee on Education and Social Protection</w:t>
      </w:r>
      <w:r w:rsidR="000A2971" w:rsidRPr="007C4B78">
        <w:rPr>
          <w:rStyle w:val="FootnoteReference"/>
          <w:rFonts w:asciiTheme="majorHAnsi" w:hAnsiTheme="majorHAnsi"/>
        </w:rPr>
        <w:footnoteReference w:id="60"/>
      </w:r>
      <w:r w:rsidR="000A2971" w:rsidRPr="007C4B78">
        <w:rPr>
          <w:rFonts w:asciiTheme="majorHAnsi" w:hAnsiTheme="majorHAnsi"/>
        </w:rPr>
        <w:t xml:space="preserve"> and discussed in </w:t>
      </w:r>
      <w:r w:rsidR="00EB480D" w:rsidRPr="007C4B78">
        <w:rPr>
          <w:rFonts w:asciiTheme="majorHAnsi" w:hAnsiTheme="majorHAnsi"/>
        </w:rPr>
        <w:t>a report by the National Council for Special Education.</w:t>
      </w:r>
      <w:r w:rsidR="00EB480D" w:rsidRPr="007C4B78">
        <w:rPr>
          <w:rStyle w:val="FootnoteReference"/>
          <w:rFonts w:asciiTheme="majorHAnsi" w:hAnsiTheme="majorHAnsi"/>
        </w:rPr>
        <w:footnoteReference w:id="61"/>
      </w:r>
    </w:p>
    <w:p w14:paraId="2B0F0222" w14:textId="77777777" w:rsidR="00C82D83" w:rsidRPr="007C4B78" w:rsidRDefault="00C82D83" w:rsidP="004D12C3">
      <w:pPr>
        <w:pStyle w:val="ColorfulList-Accent11"/>
        <w:ind w:left="0"/>
        <w:jc w:val="both"/>
        <w:rPr>
          <w:rFonts w:asciiTheme="majorHAnsi" w:hAnsiTheme="majorHAnsi"/>
        </w:rPr>
      </w:pPr>
    </w:p>
    <w:p w14:paraId="79D19CC1" w14:textId="77777777" w:rsidR="003A6ED1" w:rsidRPr="007C4B78" w:rsidRDefault="003A6ED1"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t xml:space="preserve">Most of the cases that the Disability Appeals Officer reported on in </w:t>
      </w:r>
      <w:r w:rsidR="00E62EAD" w:rsidRPr="007C4B78">
        <w:rPr>
          <w:rFonts w:asciiTheme="majorHAnsi" w:hAnsiTheme="majorHAnsi"/>
        </w:rPr>
        <w:t>her</w:t>
      </w:r>
      <w:r w:rsidRPr="007C4B78">
        <w:rPr>
          <w:rFonts w:asciiTheme="majorHAnsi" w:hAnsiTheme="majorHAnsi"/>
        </w:rPr>
        <w:t xml:space="preserve"> 2010 annual report were procedural cases based on violations of the statute of limitations for assessment requests.</w:t>
      </w:r>
      <w:r w:rsidRPr="007C4B78">
        <w:rPr>
          <w:rStyle w:val="FootnoteReference"/>
          <w:rFonts w:asciiTheme="majorHAnsi" w:hAnsiTheme="majorHAnsi"/>
        </w:rPr>
        <w:footnoteReference w:id="62"/>
      </w:r>
      <w:r w:rsidRPr="007C4B78">
        <w:rPr>
          <w:rFonts w:asciiTheme="majorHAnsi" w:hAnsiTheme="majorHAnsi"/>
        </w:rPr>
        <w:t xml:space="preserve"> These cases addressed the timeframe for completion of assessments of need on children, and whether the timeframe in particular cases exceeded the statutory requirement.</w:t>
      </w:r>
    </w:p>
    <w:p w14:paraId="7977801C" w14:textId="77777777" w:rsidR="00C82D83" w:rsidRPr="007C4B78" w:rsidRDefault="00C82D83" w:rsidP="004D12C3">
      <w:pPr>
        <w:pStyle w:val="task"/>
        <w:tabs>
          <w:tab w:val="clear" w:pos="680"/>
          <w:tab w:val="left" w:pos="0"/>
        </w:tabs>
        <w:ind w:left="0" w:firstLine="0"/>
        <w:jc w:val="both"/>
        <w:rPr>
          <w:rFonts w:asciiTheme="majorHAnsi" w:hAnsiTheme="majorHAnsi"/>
        </w:rPr>
      </w:pPr>
    </w:p>
    <w:p w14:paraId="787AB6DE" w14:textId="77777777" w:rsidR="00C82D83" w:rsidRPr="007C4B78" w:rsidRDefault="00C82D83"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lastRenderedPageBreak/>
        <w:t xml:space="preserve">Parents were also very critical of </w:t>
      </w:r>
      <w:r w:rsidR="002D46C0" w:rsidRPr="007C4B78">
        <w:rPr>
          <w:rFonts w:asciiTheme="majorHAnsi" w:hAnsiTheme="majorHAnsi"/>
        </w:rPr>
        <w:t>the timeframe for decisions on</w:t>
      </w:r>
      <w:r w:rsidR="0029139D" w:rsidRPr="007C4B78">
        <w:rPr>
          <w:rFonts w:asciiTheme="majorHAnsi" w:hAnsiTheme="majorHAnsi"/>
        </w:rPr>
        <w:t xml:space="preserve"> </w:t>
      </w:r>
      <w:r w:rsidRPr="007C4B78">
        <w:rPr>
          <w:rFonts w:asciiTheme="majorHAnsi" w:hAnsiTheme="majorHAnsi"/>
        </w:rPr>
        <w:t>assessment</w:t>
      </w:r>
      <w:r w:rsidR="00223282" w:rsidRPr="007C4B78">
        <w:rPr>
          <w:rFonts w:asciiTheme="majorHAnsi" w:hAnsiTheme="majorHAnsi"/>
        </w:rPr>
        <w:t>s</w:t>
      </w:r>
      <w:r w:rsidRPr="007C4B78">
        <w:rPr>
          <w:rFonts w:asciiTheme="majorHAnsi" w:hAnsiTheme="majorHAnsi"/>
        </w:rPr>
        <w:t xml:space="preserve"> of need (carried out by the HSE)</w:t>
      </w:r>
      <w:proofErr w:type="gramStart"/>
      <w:r w:rsidR="00223282" w:rsidRPr="007C4B78">
        <w:rPr>
          <w:rFonts w:asciiTheme="majorHAnsi" w:hAnsiTheme="majorHAnsi"/>
        </w:rPr>
        <w:t>,</w:t>
      </w:r>
      <w:r w:rsidRPr="007C4B78">
        <w:rPr>
          <w:rFonts w:asciiTheme="majorHAnsi" w:hAnsiTheme="majorHAnsi"/>
        </w:rPr>
        <w:t>school</w:t>
      </w:r>
      <w:proofErr w:type="gramEnd"/>
      <w:r w:rsidRPr="007C4B78">
        <w:rPr>
          <w:rFonts w:asciiTheme="majorHAnsi" w:hAnsiTheme="majorHAnsi"/>
        </w:rPr>
        <w:t xml:space="preserve"> placements and school accommodation. As one parent said “To take a complaint</w:t>
      </w:r>
      <w:r w:rsidR="00EB3D0E" w:rsidRPr="007C4B78">
        <w:rPr>
          <w:rFonts w:asciiTheme="majorHAnsi" w:hAnsiTheme="majorHAnsi"/>
        </w:rPr>
        <w:t>,</w:t>
      </w:r>
      <w:r w:rsidRPr="007C4B78">
        <w:rPr>
          <w:rFonts w:asciiTheme="majorHAnsi" w:hAnsiTheme="majorHAnsi"/>
        </w:rPr>
        <w:t xml:space="preserve"> to go to the ombudsman, it takes years and these are kids, kids don’t have years.”</w:t>
      </w:r>
      <w:r w:rsidRPr="007C4B78">
        <w:rPr>
          <w:rStyle w:val="FootnoteReference"/>
          <w:rFonts w:asciiTheme="majorHAnsi" w:hAnsiTheme="majorHAnsi"/>
        </w:rPr>
        <w:footnoteReference w:id="63"/>
      </w:r>
      <w:r w:rsidR="00EB1501" w:rsidRPr="007C4B78">
        <w:rPr>
          <w:rFonts w:asciiTheme="majorHAnsi" w:hAnsiTheme="majorHAnsi"/>
        </w:rPr>
        <w:t xml:space="preserve"> Another parent whose child is 17 and was unable to get suitable mainstream schooling or services </w:t>
      </w:r>
      <w:r w:rsidR="00464197" w:rsidRPr="007C4B78">
        <w:rPr>
          <w:rFonts w:asciiTheme="majorHAnsi" w:hAnsiTheme="majorHAnsi"/>
        </w:rPr>
        <w:t>said,</w:t>
      </w:r>
      <w:r w:rsidR="00EB1501" w:rsidRPr="007C4B78">
        <w:rPr>
          <w:rFonts w:asciiTheme="majorHAnsi" w:hAnsiTheme="majorHAnsi"/>
        </w:rPr>
        <w:t xml:space="preserve"> “He has no education, no nothing…. Basically they’ve just thrown him away.”</w:t>
      </w:r>
      <w:r w:rsidR="00EB1501" w:rsidRPr="007C4B78">
        <w:rPr>
          <w:rStyle w:val="FootnoteReference"/>
          <w:rFonts w:asciiTheme="majorHAnsi" w:hAnsiTheme="majorHAnsi"/>
        </w:rPr>
        <w:footnoteReference w:id="64"/>
      </w:r>
    </w:p>
    <w:p w14:paraId="16C656DD" w14:textId="77777777" w:rsidR="003A6ED1" w:rsidRPr="007C4B78" w:rsidRDefault="003A6ED1" w:rsidP="004D12C3">
      <w:pPr>
        <w:pStyle w:val="ColorfulList-Accent11"/>
        <w:ind w:left="0"/>
        <w:jc w:val="both"/>
        <w:rPr>
          <w:rFonts w:asciiTheme="majorHAnsi" w:hAnsiTheme="majorHAnsi"/>
        </w:rPr>
      </w:pPr>
    </w:p>
    <w:p w14:paraId="51FF2BA2" w14:textId="77777777" w:rsidR="00EB1501" w:rsidRPr="007C4B78" w:rsidRDefault="00EB1501" w:rsidP="004D12C3">
      <w:pPr>
        <w:pStyle w:val="ColorfulList-Accent11"/>
        <w:ind w:left="0"/>
        <w:jc w:val="both"/>
        <w:rPr>
          <w:rFonts w:asciiTheme="majorHAnsi" w:hAnsiTheme="majorHAnsi"/>
        </w:rPr>
      </w:pPr>
      <w:r w:rsidRPr="007C4B78">
        <w:rPr>
          <w:rFonts w:asciiTheme="majorHAnsi" w:hAnsiTheme="majorHAnsi"/>
        </w:rPr>
        <w:t xml:space="preserve">One of the more disturbing patterns that came up in the interviews was retaliatory action for making complaints against </w:t>
      </w:r>
      <w:r w:rsidR="00EB3D0E" w:rsidRPr="007C4B78">
        <w:rPr>
          <w:rFonts w:asciiTheme="majorHAnsi" w:hAnsiTheme="majorHAnsi"/>
        </w:rPr>
        <w:t xml:space="preserve">a </w:t>
      </w:r>
      <w:r w:rsidRPr="007C4B78">
        <w:rPr>
          <w:rFonts w:asciiTheme="majorHAnsi" w:hAnsiTheme="majorHAnsi"/>
        </w:rPr>
        <w:t>school or</w:t>
      </w:r>
      <w:r w:rsidR="00EB3D0E" w:rsidRPr="007C4B78">
        <w:rPr>
          <w:rFonts w:asciiTheme="majorHAnsi" w:hAnsiTheme="majorHAnsi"/>
        </w:rPr>
        <w:t xml:space="preserve"> the</w:t>
      </w:r>
      <w:r w:rsidRPr="007C4B78">
        <w:rPr>
          <w:rFonts w:asciiTheme="majorHAnsi" w:hAnsiTheme="majorHAnsi"/>
        </w:rPr>
        <w:t xml:space="preserve"> HSE. One parent who made a complaint regarding an inaccurate statement in the early intervention report that was to be used in the assessment of needs said that her three children who all had special needs were </w:t>
      </w:r>
      <w:r w:rsidR="00EB3D0E" w:rsidRPr="007C4B78">
        <w:rPr>
          <w:rFonts w:asciiTheme="majorHAnsi" w:hAnsiTheme="majorHAnsi"/>
        </w:rPr>
        <w:t xml:space="preserve">excluded from HSE services, and </w:t>
      </w:r>
      <w:r w:rsidRPr="007C4B78">
        <w:rPr>
          <w:rFonts w:asciiTheme="majorHAnsi" w:hAnsiTheme="majorHAnsi"/>
        </w:rPr>
        <w:t>the family then had to pay out of pocket for</w:t>
      </w:r>
      <w:r w:rsidR="00EB3D0E" w:rsidRPr="007C4B78">
        <w:rPr>
          <w:rFonts w:asciiTheme="majorHAnsi" w:hAnsiTheme="majorHAnsi"/>
        </w:rPr>
        <w:t xml:space="preserve"> the support they required</w:t>
      </w:r>
      <w:r w:rsidRPr="007C4B78">
        <w:rPr>
          <w:rFonts w:asciiTheme="majorHAnsi" w:hAnsiTheme="majorHAnsi"/>
        </w:rPr>
        <w:t>.</w:t>
      </w:r>
      <w:r w:rsidRPr="007C4B78">
        <w:rPr>
          <w:rStyle w:val="FootnoteReference"/>
          <w:rFonts w:asciiTheme="majorHAnsi" w:hAnsiTheme="majorHAnsi"/>
        </w:rPr>
        <w:footnoteReference w:id="65"/>
      </w:r>
      <w:r w:rsidRPr="007C4B78">
        <w:rPr>
          <w:rFonts w:asciiTheme="majorHAnsi" w:hAnsiTheme="majorHAnsi"/>
        </w:rPr>
        <w:t xml:space="preserve"> Another parent who had complained against the school was threatened with </w:t>
      </w:r>
      <w:r w:rsidR="00EB3D0E" w:rsidRPr="007C4B78">
        <w:rPr>
          <w:rFonts w:asciiTheme="majorHAnsi" w:hAnsiTheme="majorHAnsi"/>
        </w:rPr>
        <w:t>litigation</w:t>
      </w:r>
      <w:r w:rsidRPr="007C4B78">
        <w:rPr>
          <w:rFonts w:asciiTheme="majorHAnsi" w:hAnsiTheme="majorHAnsi"/>
        </w:rPr>
        <w:t xml:space="preserve"> so ended up moving her child to a different school.</w:t>
      </w:r>
      <w:r w:rsidRPr="007C4B78">
        <w:rPr>
          <w:rStyle w:val="FootnoteReference"/>
          <w:rFonts w:asciiTheme="majorHAnsi" w:hAnsiTheme="majorHAnsi"/>
        </w:rPr>
        <w:footnoteReference w:id="66"/>
      </w:r>
      <w:r w:rsidR="00DC306B" w:rsidRPr="007C4B78">
        <w:rPr>
          <w:rFonts w:asciiTheme="majorHAnsi" w:hAnsiTheme="majorHAnsi"/>
        </w:rPr>
        <w:t xml:space="preserve"> One parent had made a complaint about a child’s assessment of needs and wasn’t receiving services when the child was having serious health effects that the parent reached out again to the HSE for help with the parent was told that she would be reported for child neglect since she was unable to ensure the health of her child.</w:t>
      </w:r>
      <w:r w:rsidR="00DC306B" w:rsidRPr="007C4B78">
        <w:rPr>
          <w:rStyle w:val="FootnoteReference"/>
          <w:rFonts w:asciiTheme="majorHAnsi" w:hAnsiTheme="majorHAnsi"/>
        </w:rPr>
        <w:footnoteReference w:id="67"/>
      </w:r>
    </w:p>
    <w:p w14:paraId="4539CD67" w14:textId="77777777" w:rsidR="00780B84" w:rsidRPr="007C4B78" w:rsidRDefault="00780B84" w:rsidP="004D12C3">
      <w:pPr>
        <w:pStyle w:val="Heading2"/>
        <w:jc w:val="both"/>
        <w:rPr>
          <w:rFonts w:asciiTheme="majorHAnsi" w:hAnsiTheme="majorHAnsi"/>
        </w:rPr>
      </w:pPr>
      <w:bookmarkStart w:id="22" w:name="_Toc417303149"/>
      <w:r w:rsidRPr="007C4B78">
        <w:rPr>
          <w:rFonts w:asciiTheme="majorHAnsi" w:hAnsiTheme="majorHAnsi"/>
        </w:rPr>
        <w:t>What Access to Justice for Children with Cognitive Disabilities Should Look Like in Education Settings in Ireland</w:t>
      </w:r>
      <w:bookmarkEnd w:id="22"/>
    </w:p>
    <w:p w14:paraId="5589C34E" w14:textId="77777777" w:rsidR="007B25C1" w:rsidRPr="007C4B78" w:rsidRDefault="00780B84"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t>Drawing from international definitions and standards related to access to justice, access to justice for children with cognitive disabilities in Ireland would include first and foremost access to education (including mainstream education) and educational supports for children with cognitive disabilities.</w:t>
      </w:r>
      <w:r w:rsidRPr="007C4B78">
        <w:rPr>
          <w:rStyle w:val="FootnoteReference"/>
          <w:rFonts w:asciiTheme="majorHAnsi" w:hAnsiTheme="majorHAnsi"/>
        </w:rPr>
        <w:footnoteReference w:id="68"/>
      </w:r>
      <w:r w:rsidRPr="007C4B78">
        <w:rPr>
          <w:rFonts w:asciiTheme="majorHAnsi" w:hAnsiTheme="majorHAnsi"/>
        </w:rPr>
        <w:t xml:space="preserve"> Children with cognitive disabilities </w:t>
      </w:r>
      <w:r w:rsidR="002D46C0" w:rsidRPr="007C4B78">
        <w:rPr>
          <w:rFonts w:asciiTheme="majorHAnsi" w:hAnsiTheme="majorHAnsi"/>
        </w:rPr>
        <w:t xml:space="preserve">should </w:t>
      </w:r>
      <w:r w:rsidRPr="007C4B78">
        <w:rPr>
          <w:rFonts w:asciiTheme="majorHAnsi" w:hAnsiTheme="majorHAnsi"/>
        </w:rPr>
        <w:t>be</w:t>
      </w:r>
      <w:r w:rsidR="002D46C0" w:rsidRPr="007C4B78">
        <w:rPr>
          <w:rFonts w:asciiTheme="majorHAnsi" w:hAnsiTheme="majorHAnsi"/>
        </w:rPr>
        <w:t xml:space="preserve"> meaningfully</w:t>
      </w:r>
      <w:r w:rsidRPr="007C4B78">
        <w:rPr>
          <w:rFonts w:asciiTheme="majorHAnsi" w:hAnsiTheme="majorHAnsi"/>
        </w:rPr>
        <w:t xml:space="preserve"> involved in decision making about where they attend school.</w:t>
      </w:r>
      <w:r w:rsidRPr="007C4B78">
        <w:rPr>
          <w:rStyle w:val="FootnoteReference"/>
          <w:rFonts w:asciiTheme="majorHAnsi" w:hAnsiTheme="majorHAnsi"/>
        </w:rPr>
        <w:footnoteReference w:id="69"/>
      </w:r>
      <w:r w:rsidRPr="007C4B78">
        <w:rPr>
          <w:rFonts w:asciiTheme="majorHAnsi" w:hAnsiTheme="majorHAnsi"/>
        </w:rPr>
        <w:t xml:space="preserve"> Access to justice in Ireland would require an</w:t>
      </w:r>
      <w:r w:rsidR="000A71A4" w:rsidRPr="007C4B78">
        <w:rPr>
          <w:rFonts w:asciiTheme="majorHAnsi" w:hAnsiTheme="majorHAnsi"/>
        </w:rPr>
        <w:t xml:space="preserve"> accessible and effective</w:t>
      </w:r>
      <w:r w:rsidRPr="007C4B78">
        <w:rPr>
          <w:rFonts w:asciiTheme="majorHAnsi" w:hAnsiTheme="majorHAnsi"/>
        </w:rPr>
        <w:t xml:space="preserve"> appeals procedure </w:t>
      </w:r>
      <w:r w:rsidR="000A71A4" w:rsidRPr="007C4B78">
        <w:rPr>
          <w:rFonts w:asciiTheme="majorHAnsi" w:hAnsiTheme="majorHAnsi"/>
        </w:rPr>
        <w:t xml:space="preserve">for parents and children to challenge decisions about </w:t>
      </w:r>
      <w:r w:rsidRPr="007C4B78">
        <w:rPr>
          <w:rFonts w:asciiTheme="majorHAnsi" w:hAnsiTheme="majorHAnsi"/>
        </w:rPr>
        <w:t>education support services. The appeals procedure should include views of the child and have the requisite supports to enable a child with a cognitive disability to do so.</w:t>
      </w:r>
      <w:r w:rsidRPr="007C4B78">
        <w:rPr>
          <w:rStyle w:val="FootnoteReference"/>
          <w:rFonts w:asciiTheme="majorHAnsi" w:hAnsiTheme="majorHAnsi"/>
        </w:rPr>
        <w:footnoteReference w:id="70"/>
      </w:r>
    </w:p>
    <w:p w14:paraId="21166DD7" w14:textId="77777777" w:rsidR="007B25C1" w:rsidRPr="007C4B78" w:rsidRDefault="007B25C1" w:rsidP="004D12C3">
      <w:pPr>
        <w:pStyle w:val="ColorfulList-Accent11"/>
        <w:jc w:val="both"/>
        <w:rPr>
          <w:rFonts w:asciiTheme="majorHAnsi" w:hAnsiTheme="majorHAnsi"/>
        </w:rPr>
      </w:pPr>
    </w:p>
    <w:p w14:paraId="74809729" w14:textId="77777777" w:rsidR="00B20F7E" w:rsidRDefault="00B20F7E" w:rsidP="004D12C3">
      <w:pPr>
        <w:pStyle w:val="ColorfulList-Accent11"/>
        <w:ind w:left="0"/>
        <w:jc w:val="both"/>
        <w:rPr>
          <w:rStyle w:val="Heading1Char"/>
        </w:rPr>
      </w:pPr>
      <w:bookmarkStart w:id="23" w:name="_Toc417303150"/>
    </w:p>
    <w:p w14:paraId="0433F9BB" w14:textId="77777777" w:rsidR="00B20F7E" w:rsidRDefault="00B20F7E" w:rsidP="004D12C3">
      <w:pPr>
        <w:pStyle w:val="ColorfulList-Accent11"/>
        <w:ind w:left="0"/>
        <w:jc w:val="both"/>
        <w:rPr>
          <w:rStyle w:val="Heading1Char"/>
        </w:rPr>
      </w:pPr>
    </w:p>
    <w:p w14:paraId="59003BE5" w14:textId="77777777" w:rsidR="00D73861" w:rsidRPr="007C4B78" w:rsidRDefault="00D73861" w:rsidP="004D12C3">
      <w:pPr>
        <w:pStyle w:val="ColorfulList-Accent11"/>
        <w:ind w:left="0"/>
        <w:jc w:val="both"/>
        <w:rPr>
          <w:rFonts w:asciiTheme="majorHAnsi" w:hAnsiTheme="majorHAnsi"/>
        </w:rPr>
      </w:pPr>
      <w:bookmarkStart w:id="24" w:name="_GoBack"/>
      <w:bookmarkEnd w:id="24"/>
      <w:r w:rsidRPr="007C4B78">
        <w:rPr>
          <w:rStyle w:val="Heading1Char"/>
        </w:rPr>
        <w:lastRenderedPageBreak/>
        <w:t>Care and Custody Proceedings</w:t>
      </w:r>
      <w:bookmarkEnd w:id="23"/>
    </w:p>
    <w:p w14:paraId="7906AC89" w14:textId="77777777" w:rsidR="007B25C1" w:rsidRPr="007C4B78" w:rsidRDefault="007B25C1" w:rsidP="004D12C3">
      <w:pPr>
        <w:pStyle w:val="Heading2"/>
        <w:jc w:val="both"/>
        <w:rPr>
          <w:rFonts w:asciiTheme="majorHAnsi" w:hAnsiTheme="majorHAnsi"/>
        </w:rPr>
      </w:pPr>
      <w:bookmarkStart w:id="25" w:name="_Toc417303151"/>
      <w:r w:rsidRPr="007C4B78">
        <w:rPr>
          <w:rFonts w:asciiTheme="majorHAnsi" w:hAnsiTheme="majorHAnsi"/>
        </w:rPr>
        <w:t>Background Information</w:t>
      </w:r>
      <w:bookmarkEnd w:id="25"/>
    </w:p>
    <w:p w14:paraId="1015F6A3" w14:textId="77777777" w:rsidR="007B25C1" w:rsidRPr="007C4B78" w:rsidRDefault="004554BA" w:rsidP="004D12C3">
      <w:pPr>
        <w:jc w:val="both"/>
        <w:rPr>
          <w:rFonts w:asciiTheme="majorHAnsi" w:eastAsia="Calibri" w:hAnsiTheme="majorHAnsi"/>
        </w:rPr>
      </w:pPr>
      <w:r w:rsidRPr="007C4B78">
        <w:rPr>
          <w:rFonts w:asciiTheme="majorHAnsi" w:eastAsia="Calibri" w:hAnsiTheme="majorHAnsi"/>
        </w:rPr>
        <w:t>In 2011 there were</w:t>
      </w:r>
      <w:r w:rsidR="00F73331" w:rsidRPr="007C4B78">
        <w:rPr>
          <w:rFonts w:asciiTheme="majorHAnsi" w:eastAsia="Calibri" w:hAnsiTheme="majorHAnsi"/>
        </w:rPr>
        <w:t xml:space="preserve"> a total of 6160 children in care in Ireland,</w:t>
      </w:r>
      <w:r w:rsidR="00F73331" w:rsidRPr="007C4B78">
        <w:rPr>
          <w:rStyle w:val="FootnoteReference"/>
          <w:rFonts w:asciiTheme="majorHAnsi" w:eastAsia="Calibri" w:hAnsiTheme="majorHAnsi"/>
        </w:rPr>
        <w:footnoteReference w:id="71"/>
      </w:r>
      <w:r w:rsidR="00F73331" w:rsidRPr="007C4B78">
        <w:rPr>
          <w:rFonts w:asciiTheme="majorHAnsi" w:eastAsia="Calibri" w:hAnsiTheme="majorHAnsi"/>
        </w:rPr>
        <w:t xml:space="preserve"> and</w:t>
      </w:r>
      <w:r w:rsidRPr="007C4B78">
        <w:rPr>
          <w:rFonts w:asciiTheme="majorHAnsi" w:eastAsia="Calibri" w:hAnsiTheme="majorHAnsi"/>
        </w:rPr>
        <w:t xml:space="preserve"> 2,248 </w:t>
      </w:r>
      <w:r w:rsidR="00F73331" w:rsidRPr="007C4B78">
        <w:rPr>
          <w:rFonts w:asciiTheme="majorHAnsi" w:eastAsia="Calibri" w:hAnsiTheme="majorHAnsi"/>
        </w:rPr>
        <w:t xml:space="preserve">of those had been </w:t>
      </w:r>
      <w:r w:rsidRPr="007C4B78">
        <w:rPr>
          <w:rFonts w:asciiTheme="majorHAnsi" w:eastAsia="Calibri" w:hAnsiTheme="majorHAnsi"/>
        </w:rPr>
        <w:t>admitted to care</w:t>
      </w:r>
      <w:r w:rsidR="00F73331" w:rsidRPr="007C4B78">
        <w:rPr>
          <w:rFonts w:asciiTheme="majorHAnsi" w:eastAsia="Calibri" w:hAnsiTheme="majorHAnsi"/>
        </w:rPr>
        <w:t xml:space="preserve"> that year</w:t>
      </w:r>
      <w:r w:rsidR="000A71A4" w:rsidRPr="007C4B78">
        <w:rPr>
          <w:rFonts w:asciiTheme="majorHAnsi" w:eastAsia="Calibri" w:hAnsiTheme="majorHAnsi"/>
        </w:rPr>
        <w:t>.</w:t>
      </w:r>
      <w:r w:rsidR="003C77B2" w:rsidRPr="007C4B78">
        <w:rPr>
          <w:rFonts w:asciiTheme="majorHAnsi" w:eastAsia="Calibri" w:hAnsiTheme="majorHAnsi"/>
        </w:rPr>
        <w:t xml:space="preserve"> </w:t>
      </w:r>
      <w:r w:rsidR="000A71A4" w:rsidRPr="007C4B78">
        <w:rPr>
          <w:rFonts w:asciiTheme="majorHAnsi" w:eastAsia="Calibri" w:hAnsiTheme="majorHAnsi"/>
        </w:rPr>
        <w:t>O</w:t>
      </w:r>
      <w:r w:rsidRPr="007C4B78">
        <w:rPr>
          <w:rFonts w:asciiTheme="majorHAnsi" w:eastAsia="Calibri" w:hAnsiTheme="majorHAnsi"/>
        </w:rPr>
        <w:t>nly 1% of these admissions were for children with “mental health problems” or an intellectual disability.</w:t>
      </w:r>
      <w:r w:rsidR="001144EA" w:rsidRPr="007C4B78">
        <w:rPr>
          <w:rStyle w:val="FootnoteReference"/>
          <w:rFonts w:asciiTheme="majorHAnsi" w:eastAsia="Calibri" w:hAnsiTheme="majorHAnsi"/>
        </w:rPr>
        <w:footnoteReference w:id="72"/>
      </w:r>
      <w:r w:rsidRPr="007C4B78">
        <w:rPr>
          <w:rFonts w:asciiTheme="majorHAnsi" w:eastAsia="Calibri" w:hAnsiTheme="majorHAnsi"/>
        </w:rPr>
        <w:t xml:space="preserve"> The </w:t>
      </w:r>
      <w:proofErr w:type="gramStart"/>
      <w:r w:rsidRPr="007C4B78">
        <w:rPr>
          <w:rFonts w:asciiTheme="majorHAnsi" w:eastAsia="Calibri" w:hAnsiTheme="majorHAnsi"/>
        </w:rPr>
        <w:t>term “in care” includes residential institutions as well as foster care</w:t>
      </w:r>
      <w:proofErr w:type="gramEnd"/>
      <w:r w:rsidRPr="007C4B78">
        <w:rPr>
          <w:rFonts w:asciiTheme="majorHAnsi" w:eastAsia="Calibri" w:hAnsiTheme="majorHAnsi"/>
        </w:rPr>
        <w:t xml:space="preserve"> placements and </w:t>
      </w:r>
      <w:r w:rsidR="000A71A4" w:rsidRPr="007C4B78">
        <w:rPr>
          <w:rFonts w:asciiTheme="majorHAnsi" w:eastAsia="Calibri" w:hAnsiTheme="majorHAnsi"/>
        </w:rPr>
        <w:t xml:space="preserve">voluntary </w:t>
      </w:r>
      <w:r w:rsidRPr="007C4B78">
        <w:rPr>
          <w:rFonts w:asciiTheme="majorHAnsi" w:eastAsia="Calibri" w:hAnsiTheme="majorHAnsi"/>
        </w:rPr>
        <w:t>placements with a relative of the child.</w:t>
      </w:r>
      <w:r w:rsidRPr="007C4B78">
        <w:rPr>
          <w:rStyle w:val="FootnoteReference"/>
          <w:rFonts w:asciiTheme="majorHAnsi" w:eastAsia="Calibri" w:hAnsiTheme="majorHAnsi"/>
        </w:rPr>
        <w:footnoteReference w:id="73"/>
      </w:r>
      <w:r w:rsidR="00C1634F" w:rsidRPr="007C4B78">
        <w:rPr>
          <w:rFonts w:asciiTheme="majorHAnsi" w:eastAsia="Calibri" w:hAnsiTheme="majorHAnsi"/>
        </w:rPr>
        <w:t>In 2013 there were 321 chi</w:t>
      </w:r>
      <w:r w:rsidR="00E3711F" w:rsidRPr="007C4B78">
        <w:rPr>
          <w:rFonts w:asciiTheme="majorHAnsi" w:eastAsia="Calibri" w:hAnsiTheme="majorHAnsi"/>
        </w:rPr>
        <w:t>l</w:t>
      </w:r>
      <w:r w:rsidR="00C1634F" w:rsidRPr="007C4B78">
        <w:rPr>
          <w:rFonts w:asciiTheme="majorHAnsi" w:eastAsia="Calibri" w:hAnsiTheme="majorHAnsi"/>
        </w:rPr>
        <w:t>d</w:t>
      </w:r>
      <w:r w:rsidR="00E3711F" w:rsidRPr="007C4B78">
        <w:rPr>
          <w:rFonts w:asciiTheme="majorHAnsi" w:eastAsia="Calibri" w:hAnsiTheme="majorHAnsi"/>
        </w:rPr>
        <w:t>ren in general residential care centres in Ireland.</w:t>
      </w:r>
      <w:r w:rsidR="00E3711F" w:rsidRPr="007C4B78">
        <w:rPr>
          <w:rStyle w:val="FootnoteReference"/>
          <w:rFonts w:asciiTheme="majorHAnsi" w:eastAsia="Calibri" w:hAnsiTheme="majorHAnsi"/>
        </w:rPr>
        <w:footnoteReference w:id="74"/>
      </w:r>
    </w:p>
    <w:p w14:paraId="35A3903A" w14:textId="77777777" w:rsidR="001B5B1E" w:rsidRPr="007C4B78" w:rsidRDefault="001B5B1E" w:rsidP="004D12C3">
      <w:pPr>
        <w:jc w:val="both"/>
        <w:rPr>
          <w:rFonts w:asciiTheme="majorHAnsi" w:eastAsia="Arial" w:hAnsiTheme="majorHAnsi" w:cs="Arial"/>
        </w:rPr>
      </w:pPr>
    </w:p>
    <w:p w14:paraId="5EE0BFB5" w14:textId="77777777" w:rsidR="001B5B1E" w:rsidRPr="007C4B78" w:rsidRDefault="001B5B1E" w:rsidP="004D12C3">
      <w:pPr>
        <w:jc w:val="both"/>
        <w:rPr>
          <w:rFonts w:asciiTheme="majorHAnsi" w:eastAsia="Arial" w:hAnsiTheme="majorHAnsi" w:cs="Arial"/>
        </w:rPr>
      </w:pPr>
      <w:r w:rsidRPr="007C4B78">
        <w:rPr>
          <w:rFonts w:asciiTheme="majorHAnsi" w:eastAsia="Arial" w:hAnsiTheme="majorHAnsi" w:cs="Arial"/>
        </w:rPr>
        <w:t xml:space="preserve">The report </w:t>
      </w:r>
      <w:r w:rsidRPr="007C4B78">
        <w:rPr>
          <w:rFonts w:asciiTheme="majorHAnsi" w:eastAsia="Arial" w:hAnsiTheme="majorHAnsi" w:cs="Arial"/>
          <w:i/>
        </w:rPr>
        <w:t>Someone to Care</w:t>
      </w:r>
      <w:r w:rsidRPr="007C4B78">
        <w:rPr>
          <w:rFonts w:asciiTheme="majorHAnsi" w:eastAsia="Arial" w:hAnsiTheme="majorHAnsi" w:cs="Arial"/>
        </w:rPr>
        <w:t xml:space="preserve"> stated that professionals that worked with children in care often saw children with mental health issues, children with learning disabilities and children on the autism spectrum.</w:t>
      </w:r>
      <w:r w:rsidRPr="007C4B78">
        <w:rPr>
          <w:rStyle w:val="FootnoteReference"/>
          <w:rFonts w:asciiTheme="majorHAnsi" w:eastAsia="Arial" w:hAnsiTheme="majorHAnsi" w:cs="Arial"/>
        </w:rPr>
        <w:footnoteReference w:id="75"/>
      </w:r>
      <w:r w:rsidRPr="007C4B78">
        <w:rPr>
          <w:rFonts w:asciiTheme="majorHAnsi" w:eastAsia="Arial" w:hAnsiTheme="majorHAnsi" w:cs="Arial"/>
        </w:rPr>
        <w:t xml:space="preserve"> The </w:t>
      </w:r>
      <w:r w:rsidRPr="007C4B78">
        <w:rPr>
          <w:rFonts w:asciiTheme="majorHAnsi" w:eastAsia="Calibri" w:hAnsiTheme="majorHAnsi"/>
        </w:rPr>
        <w:t xml:space="preserve">Child Care Law Project </w:t>
      </w:r>
      <w:r w:rsidRPr="007C4B78">
        <w:rPr>
          <w:rFonts w:asciiTheme="majorHAnsi" w:eastAsia="Arial" w:hAnsiTheme="majorHAnsi" w:cs="Arial"/>
        </w:rPr>
        <w:t>found that 91 of the 333 cases studied involved one or more children with “psychological needs” for a total of 112 children.</w:t>
      </w:r>
      <w:r w:rsidRPr="007C4B78">
        <w:rPr>
          <w:rStyle w:val="FootnoteReference"/>
          <w:rFonts w:asciiTheme="majorHAnsi" w:eastAsia="Arial" w:hAnsiTheme="majorHAnsi" w:cs="Arial"/>
        </w:rPr>
        <w:footnoteReference w:id="76"/>
      </w:r>
      <w:r w:rsidR="002A3E4D" w:rsidRPr="007C4B78">
        <w:rPr>
          <w:rFonts w:asciiTheme="majorHAnsi" w:eastAsia="Arial" w:hAnsiTheme="majorHAnsi" w:cs="Arial"/>
        </w:rPr>
        <w:t xml:space="preserve"> These figures differ starkly from the recorded 1% of children in care with intellectual</w:t>
      </w:r>
      <w:r w:rsidR="007D3C82" w:rsidRPr="007C4B78">
        <w:rPr>
          <w:rFonts w:asciiTheme="majorHAnsi" w:eastAsia="Arial" w:hAnsiTheme="majorHAnsi" w:cs="Arial"/>
        </w:rPr>
        <w:t xml:space="preserve"> disability</w:t>
      </w:r>
      <w:r w:rsidR="002A3E4D" w:rsidRPr="007C4B78">
        <w:rPr>
          <w:rFonts w:asciiTheme="majorHAnsi" w:eastAsia="Arial" w:hAnsiTheme="majorHAnsi" w:cs="Arial"/>
        </w:rPr>
        <w:t xml:space="preserve"> or mental health diagnoses in 2011.</w:t>
      </w:r>
      <w:r w:rsidRPr="007C4B78">
        <w:rPr>
          <w:rFonts w:asciiTheme="majorHAnsi" w:eastAsia="Arial" w:hAnsiTheme="majorHAnsi" w:cs="Arial"/>
        </w:rPr>
        <w:tab/>
      </w:r>
    </w:p>
    <w:p w14:paraId="6F277D42" w14:textId="77777777" w:rsidR="00BB1B6C" w:rsidRPr="007C4B78" w:rsidRDefault="00BB1B6C" w:rsidP="004D12C3">
      <w:pPr>
        <w:jc w:val="both"/>
        <w:rPr>
          <w:rFonts w:asciiTheme="majorHAnsi" w:eastAsia="Calibri" w:hAnsiTheme="majorHAnsi"/>
        </w:rPr>
      </w:pPr>
    </w:p>
    <w:p w14:paraId="58FD4C81" w14:textId="77777777" w:rsidR="00B564F8" w:rsidRPr="007C4B78" w:rsidRDefault="00BB1B6C" w:rsidP="004D12C3">
      <w:pPr>
        <w:jc w:val="both"/>
        <w:rPr>
          <w:rFonts w:asciiTheme="majorHAnsi" w:eastAsia="Calibri" w:hAnsiTheme="majorHAnsi"/>
        </w:rPr>
      </w:pPr>
      <w:r w:rsidRPr="007C4B78">
        <w:rPr>
          <w:rFonts w:asciiTheme="majorHAnsi" w:eastAsia="Calibri" w:hAnsiTheme="majorHAnsi"/>
        </w:rPr>
        <w:t>In Ireland</w:t>
      </w:r>
      <w:r w:rsidR="002A3E4D" w:rsidRPr="007C4B78">
        <w:rPr>
          <w:rFonts w:asciiTheme="majorHAnsi" w:eastAsia="Calibri" w:hAnsiTheme="majorHAnsi"/>
        </w:rPr>
        <w:t>,</w:t>
      </w:r>
      <w:r w:rsidRPr="007C4B78">
        <w:rPr>
          <w:rFonts w:asciiTheme="majorHAnsi" w:eastAsia="Calibri" w:hAnsiTheme="majorHAnsi"/>
        </w:rPr>
        <w:t xml:space="preserve"> family law cases</w:t>
      </w:r>
      <w:r w:rsidR="002A3E4D" w:rsidRPr="007C4B78">
        <w:rPr>
          <w:rFonts w:asciiTheme="majorHAnsi" w:eastAsia="Calibri" w:hAnsiTheme="majorHAnsi"/>
        </w:rPr>
        <w:t xml:space="preserve">, including cases about guardianship, custody and </w:t>
      </w:r>
      <w:proofErr w:type="gramStart"/>
      <w:r w:rsidR="002A3E4D" w:rsidRPr="007C4B78">
        <w:rPr>
          <w:rFonts w:asciiTheme="majorHAnsi" w:eastAsia="Calibri" w:hAnsiTheme="majorHAnsi"/>
        </w:rPr>
        <w:t>access which determine where a child should live</w:t>
      </w:r>
      <w:proofErr w:type="gramEnd"/>
      <w:r w:rsidRPr="007C4B78">
        <w:rPr>
          <w:rFonts w:asciiTheme="majorHAnsi" w:eastAsia="Calibri" w:hAnsiTheme="majorHAnsi"/>
        </w:rPr>
        <w:t xml:space="preserve"> are </w:t>
      </w:r>
      <w:r w:rsidR="00464197" w:rsidRPr="007C4B78">
        <w:rPr>
          <w:rFonts w:asciiTheme="majorHAnsi" w:eastAsia="Calibri" w:hAnsiTheme="majorHAnsi"/>
        </w:rPr>
        <w:t xml:space="preserve">held </w:t>
      </w:r>
      <w:r w:rsidR="00464197" w:rsidRPr="007C4B78">
        <w:rPr>
          <w:rFonts w:asciiTheme="majorHAnsi" w:eastAsia="Calibri" w:hAnsiTheme="majorHAnsi"/>
          <w:i/>
        </w:rPr>
        <w:t>in</w:t>
      </w:r>
      <w:r w:rsidRPr="007C4B78">
        <w:rPr>
          <w:rFonts w:asciiTheme="majorHAnsi" w:eastAsia="Calibri" w:hAnsiTheme="majorHAnsi"/>
          <w:i/>
        </w:rPr>
        <w:t xml:space="preserve"> camera</w:t>
      </w:r>
      <w:r w:rsidR="00030FD8" w:rsidRPr="007C4B78">
        <w:rPr>
          <w:rFonts w:asciiTheme="majorHAnsi" w:eastAsia="Calibri" w:hAnsiTheme="majorHAnsi"/>
          <w:i/>
        </w:rPr>
        <w:t xml:space="preserve"> </w:t>
      </w:r>
      <w:r w:rsidR="00A04432" w:rsidRPr="007C4B78">
        <w:rPr>
          <w:rFonts w:asciiTheme="majorHAnsi" w:eastAsia="Calibri" w:hAnsiTheme="majorHAnsi"/>
        </w:rPr>
        <w:t>the</w:t>
      </w:r>
      <w:r w:rsidR="00030FD8" w:rsidRPr="007C4B78">
        <w:rPr>
          <w:rFonts w:asciiTheme="majorHAnsi" w:eastAsia="Calibri" w:hAnsiTheme="majorHAnsi"/>
        </w:rPr>
        <w:t>re are rarely</w:t>
      </w:r>
      <w:r w:rsidR="00A04432" w:rsidRPr="007C4B78">
        <w:rPr>
          <w:rFonts w:asciiTheme="majorHAnsi" w:eastAsia="Calibri" w:hAnsiTheme="majorHAnsi"/>
        </w:rPr>
        <w:t xml:space="preserve"> judgments</w:t>
      </w:r>
      <w:r w:rsidR="00030FD8" w:rsidRPr="007C4B78">
        <w:rPr>
          <w:rFonts w:asciiTheme="majorHAnsi" w:eastAsia="Calibri" w:hAnsiTheme="majorHAnsi"/>
        </w:rPr>
        <w:t>, and any judgments tha</w:t>
      </w:r>
      <w:r w:rsidR="003C77B2" w:rsidRPr="007C4B78">
        <w:rPr>
          <w:rFonts w:asciiTheme="majorHAnsi" w:eastAsia="Calibri" w:hAnsiTheme="majorHAnsi"/>
        </w:rPr>
        <w:t>t</w:t>
      </w:r>
      <w:r w:rsidR="00030FD8" w:rsidRPr="007C4B78">
        <w:rPr>
          <w:rFonts w:asciiTheme="majorHAnsi" w:eastAsia="Calibri" w:hAnsiTheme="majorHAnsi"/>
        </w:rPr>
        <w:t xml:space="preserve"> may be issued</w:t>
      </w:r>
      <w:r w:rsidR="00A04432" w:rsidRPr="007C4B78">
        <w:rPr>
          <w:rFonts w:asciiTheme="majorHAnsi" w:eastAsia="Calibri" w:hAnsiTheme="majorHAnsi"/>
        </w:rPr>
        <w:t xml:space="preserve"> tend not to be published</w:t>
      </w:r>
      <w:r w:rsidRPr="007C4B78">
        <w:rPr>
          <w:rFonts w:asciiTheme="majorHAnsi" w:eastAsia="Calibri" w:hAnsiTheme="majorHAnsi"/>
        </w:rPr>
        <w:t>.</w:t>
      </w:r>
      <w:r w:rsidRPr="007C4B78">
        <w:rPr>
          <w:rStyle w:val="FootnoteReference"/>
          <w:rFonts w:asciiTheme="majorHAnsi" w:eastAsia="Calibri" w:hAnsiTheme="majorHAnsi"/>
        </w:rPr>
        <w:footnoteReference w:id="77"/>
      </w:r>
      <w:r w:rsidRPr="007C4B78">
        <w:rPr>
          <w:rFonts w:asciiTheme="majorHAnsi" w:eastAsia="Calibri" w:hAnsiTheme="majorHAnsi"/>
        </w:rPr>
        <w:t xml:space="preserve"> There</w:t>
      </w:r>
      <w:r w:rsidR="003C77B2" w:rsidRPr="007C4B78">
        <w:rPr>
          <w:rFonts w:asciiTheme="majorHAnsi" w:eastAsia="Calibri" w:hAnsiTheme="majorHAnsi"/>
        </w:rPr>
        <w:t xml:space="preserve"> have been calls to reform this </w:t>
      </w:r>
      <w:r w:rsidR="00A04432" w:rsidRPr="007C4B78">
        <w:rPr>
          <w:rFonts w:asciiTheme="majorHAnsi" w:eastAsia="Calibri" w:hAnsiTheme="majorHAnsi"/>
        </w:rPr>
        <w:t>practice</w:t>
      </w:r>
      <w:r w:rsidRPr="007C4B78">
        <w:rPr>
          <w:rStyle w:val="FootnoteReference"/>
          <w:rFonts w:asciiTheme="majorHAnsi" w:eastAsia="Calibri" w:hAnsiTheme="majorHAnsi"/>
        </w:rPr>
        <w:footnoteReference w:id="78"/>
      </w:r>
      <w:r w:rsidRPr="007C4B78">
        <w:rPr>
          <w:rFonts w:asciiTheme="majorHAnsi" w:eastAsia="Calibri" w:hAnsiTheme="majorHAnsi"/>
        </w:rPr>
        <w:t xml:space="preserve"> and</w:t>
      </w:r>
      <w:r w:rsidR="00253FBA" w:rsidRPr="007C4B78">
        <w:rPr>
          <w:rFonts w:asciiTheme="majorHAnsi" w:eastAsia="Calibri" w:hAnsiTheme="majorHAnsi"/>
        </w:rPr>
        <w:t xml:space="preserve"> researchers are addressing this knowledge gap in</w:t>
      </w:r>
      <w:r w:rsidR="003C77B2" w:rsidRPr="007C4B78">
        <w:rPr>
          <w:rFonts w:asciiTheme="majorHAnsi" w:eastAsia="Calibri" w:hAnsiTheme="majorHAnsi"/>
        </w:rPr>
        <w:t xml:space="preserve"> </w:t>
      </w:r>
      <w:r w:rsidR="002A3E4D" w:rsidRPr="007C4B78">
        <w:rPr>
          <w:rFonts w:asciiTheme="majorHAnsi" w:eastAsia="Calibri" w:hAnsiTheme="majorHAnsi"/>
        </w:rPr>
        <w:t>the Child Care Law Reporting Project</w:t>
      </w:r>
      <w:r w:rsidR="00253FBA" w:rsidRPr="007C4B78">
        <w:rPr>
          <w:rFonts w:asciiTheme="majorHAnsi" w:eastAsia="Calibri" w:hAnsiTheme="majorHAnsi"/>
        </w:rPr>
        <w:t>, which</w:t>
      </w:r>
      <w:r w:rsidRPr="007C4B78">
        <w:rPr>
          <w:rFonts w:asciiTheme="majorHAnsi" w:eastAsia="Calibri" w:hAnsiTheme="majorHAnsi"/>
        </w:rPr>
        <w:t xml:space="preserve"> is publishing </w:t>
      </w:r>
      <w:r w:rsidR="00464197" w:rsidRPr="007C4B78">
        <w:rPr>
          <w:rFonts w:asciiTheme="majorHAnsi" w:eastAsia="Calibri" w:hAnsiTheme="majorHAnsi"/>
        </w:rPr>
        <w:t>anonym</w:t>
      </w:r>
      <w:r w:rsidR="002E0C25" w:rsidRPr="007C4B78">
        <w:rPr>
          <w:rFonts w:asciiTheme="majorHAnsi" w:eastAsia="Calibri" w:hAnsiTheme="majorHAnsi"/>
        </w:rPr>
        <w:t>ise</w:t>
      </w:r>
      <w:r w:rsidR="00464197" w:rsidRPr="007C4B78">
        <w:rPr>
          <w:rFonts w:asciiTheme="majorHAnsi" w:eastAsia="Calibri" w:hAnsiTheme="majorHAnsi"/>
        </w:rPr>
        <w:t>d summaries</w:t>
      </w:r>
      <w:r w:rsidRPr="007C4B78">
        <w:rPr>
          <w:rFonts w:asciiTheme="majorHAnsi" w:eastAsia="Calibri" w:hAnsiTheme="majorHAnsi"/>
        </w:rPr>
        <w:t xml:space="preserve"> of care proceeding cases</w:t>
      </w:r>
      <w:r w:rsidR="006D0626" w:rsidRPr="007C4B78">
        <w:rPr>
          <w:rFonts w:asciiTheme="majorHAnsi" w:eastAsia="Calibri" w:hAnsiTheme="majorHAnsi"/>
        </w:rPr>
        <w:t>.</w:t>
      </w:r>
      <w:r w:rsidRPr="007C4B78">
        <w:rPr>
          <w:rStyle w:val="FootnoteReference"/>
          <w:rFonts w:asciiTheme="majorHAnsi" w:eastAsia="Calibri" w:hAnsiTheme="majorHAnsi"/>
        </w:rPr>
        <w:footnoteReference w:id="79"/>
      </w:r>
      <w:r w:rsidR="003C77B2" w:rsidRPr="007C4B78">
        <w:rPr>
          <w:rFonts w:asciiTheme="majorHAnsi" w:eastAsia="Calibri" w:hAnsiTheme="majorHAnsi"/>
        </w:rPr>
        <w:t xml:space="preserve"> </w:t>
      </w:r>
      <w:r w:rsidR="006D0626" w:rsidRPr="007C4B78">
        <w:rPr>
          <w:rFonts w:asciiTheme="majorHAnsi" w:eastAsia="Calibri" w:hAnsiTheme="majorHAnsi"/>
        </w:rPr>
        <w:t>R</w:t>
      </w:r>
      <w:r w:rsidRPr="007C4B78">
        <w:rPr>
          <w:rFonts w:asciiTheme="majorHAnsi" w:eastAsia="Calibri" w:hAnsiTheme="majorHAnsi"/>
        </w:rPr>
        <w:t xml:space="preserve">esearchers </w:t>
      </w:r>
      <w:r w:rsidR="006D0626" w:rsidRPr="007C4B78">
        <w:rPr>
          <w:rFonts w:asciiTheme="majorHAnsi" w:eastAsia="Calibri" w:hAnsiTheme="majorHAnsi"/>
        </w:rPr>
        <w:t xml:space="preserve">from </w:t>
      </w:r>
      <w:r w:rsidR="006D0626" w:rsidRPr="007C4B78">
        <w:rPr>
          <w:rFonts w:asciiTheme="majorHAnsi" w:eastAsia="Calibri" w:hAnsiTheme="majorHAnsi"/>
        </w:rPr>
        <w:lastRenderedPageBreak/>
        <w:t>UCC</w:t>
      </w:r>
      <w:r w:rsidR="003C77B2" w:rsidRPr="007C4B78">
        <w:rPr>
          <w:rFonts w:asciiTheme="majorHAnsi" w:eastAsia="Calibri" w:hAnsiTheme="majorHAnsi"/>
        </w:rPr>
        <w:t xml:space="preserve"> </w:t>
      </w:r>
      <w:r w:rsidR="006D0626" w:rsidRPr="007C4B78">
        <w:rPr>
          <w:rFonts w:asciiTheme="majorHAnsi" w:eastAsia="Calibri" w:hAnsiTheme="majorHAnsi"/>
        </w:rPr>
        <w:t>have also provided valuable</w:t>
      </w:r>
      <w:r w:rsidRPr="007C4B78">
        <w:rPr>
          <w:rFonts w:asciiTheme="majorHAnsi" w:eastAsia="Calibri" w:hAnsiTheme="majorHAnsi"/>
        </w:rPr>
        <w:t xml:space="preserve"> research</w:t>
      </w:r>
      <w:r w:rsidR="006D0626" w:rsidRPr="007C4B78">
        <w:rPr>
          <w:rFonts w:asciiTheme="majorHAnsi" w:eastAsia="Calibri" w:hAnsiTheme="majorHAnsi"/>
        </w:rPr>
        <w:t xml:space="preserve"> on</w:t>
      </w:r>
      <w:r w:rsidRPr="007C4B78">
        <w:rPr>
          <w:rFonts w:asciiTheme="majorHAnsi" w:eastAsia="Calibri" w:hAnsiTheme="majorHAnsi"/>
        </w:rPr>
        <w:t xml:space="preserve"> District Court </w:t>
      </w:r>
      <w:proofErr w:type="gramStart"/>
      <w:r w:rsidR="006D0626" w:rsidRPr="007C4B78">
        <w:rPr>
          <w:rFonts w:asciiTheme="majorHAnsi" w:eastAsia="Calibri" w:hAnsiTheme="majorHAnsi"/>
        </w:rPr>
        <w:t xml:space="preserve">child </w:t>
      </w:r>
      <w:r w:rsidRPr="007C4B78">
        <w:rPr>
          <w:rFonts w:asciiTheme="majorHAnsi" w:eastAsia="Calibri" w:hAnsiTheme="majorHAnsi"/>
        </w:rPr>
        <w:t>care</w:t>
      </w:r>
      <w:proofErr w:type="gramEnd"/>
      <w:r w:rsidRPr="007C4B78">
        <w:rPr>
          <w:rFonts w:asciiTheme="majorHAnsi" w:eastAsia="Calibri" w:hAnsiTheme="majorHAnsi"/>
        </w:rPr>
        <w:t xml:space="preserve"> proceedings</w:t>
      </w:r>
      <w:r w:rsidRPr="007C4B78">
        <w:rPr>
          <w:rStyle w:val="FootnoteReference"/>
          <w:rFonts w:asciiTheme="majorHAnsi" w:eastAsia="Calibri" w:hAnsiTheme="majorHAnsi"/>
        </w:rPr>
        <w:footnoteReference w:id="80"/>
      </w:r>
      <w:r w:rsidR="003C77B2" w:rsidRPr="007C4B78">
        <w:rPr>
          <w:rFonts w:asciiTheme="majorHAnsi" w:eastAsia="Calibri" w:hAnsiTheme="majorHAnsi"/>
        </w:rPr>
        <w:t xml:space="preserve"> </w:t>
      </w:r>
      <w:r w:rsidR="00253FBA" w:rsidRPr="007C4B78">
        <w:rPr>
          <w:rFonts w:asciiTheme="majorHAnsi" w:eastAsia="Calibri" w:hAnsiTheme="majorHAnsi"/>
        </w:rPr>
        <w:t>to assess the level of children’s participation in the proceedings.</w:t>
      </w:r>
    </w:p>
    <w:p w14:paraId="086CD0B3" w14:textId="77777777" w:rsidR="00B564F8" w:rsidRPr="007C4B78" w:rsidRDefault="00B564F8" w:rsidP="004D12C3">
      <w:pPr>
        <w:jc w:val="both"/>
        <w:rPr>
          <w:rFonts w:asciiTheme="majorHAnsi" w:eastAsia="Calibri" w:hAnsiTheme="majorHAnsi"/>
        </w:rPr>
      </w:pPr>
    </w:p>
    <w:p w14:paraId="518F22B7" w14:textId="77777777" w:rsidR="004554BA" w:rsidRPr="007C4B78" w:rsidRDefault="00B564F8" w:rsidP="004D12C3">
      <w:pPr>
        <w:jc w:val="both"/>
        <w:rPr>
          <w:rFonts w:asciiTheme="majorHAnsi" w:eastAsia="Calibri" w:hAnsiTheme="majorHAnsi"/>
        </w:rPr>
      </w:pPr>
      <w:r w:rsidRPr="007C4B78">
        <w:rPr>
          <w:rFonts w:asciiTheme="majorHAnsi" w:eastAsia="Calibri" w:hAnsiTheme="majorHAnsi"/>
        </w:rPr>
        <w:t>This section addresses the</w:t>
      </w:r>
      <w:r w:rsidR="00442574" w:rsidRPr="007C4B78">
        <w:rPr>
          <w:rFonts w:asciiTheme="majorHAnsi" w:eastAsia="Calibri" w:hAnsiTheme="majorHAnsi"/>
        </w:rPr>
        <w:t xml:space="preserve"> three</w:t>
      </w:r>
      <w:r w:rsidRPr="007C4B78">
        <w:rPr>
          <w:rFonts w:asciiTheme="majorHAnsi" w:eastAsia="Calibri" w:hAnsiTheme="majorHAnsi"/>
        </w:rPr>
        <w:t xml:space="preserve"> main kinds of legal proceedings in Ireland for determining where a child with a cognitive disability will live – care proceedings, guardianship, custody and access proceedings, and decisions about placing a child in voluntary or involuntary mental health treatment.</w:t>
      </w:r>
      <w:r w:rsidR="007D3C82" w:rsidRPr="007C4B78">
        <w:rPr>
          <w:rFonts w:asciiTheme="majorHAnsi" w:eastAsia="Calibri" w:hAnsiTheme="majorHAnsi"/>
        </w:rPr>
        <w:t xml:space="preserve"> These are the main procedures the government of Ireland uses when it intervenes to determine where a child shall live. Home is a very basic and central aspect of any child's life and t</w:t>
      </w:r>
      <w:r w:rsidR="00596FC6" w:rsidRPr="007C4B78">
        <w:rPr>
          <w:rFonts w:asciiTheme="majorHAnsi" w:eastAsia="Calibri" w:hAnsiTheme="majorHAnsi"/>
        </w:rPr>
        <w:t>raditionally a child’</w:t>
      </w:r>
      <w:r w:rsidR="007D3C82" w:rsidRPr="007C4B78">
        <w:rPr>
          <w:rFonts w:asciiTheme="majorHAnsi" w:eastAsia="Calibri" w:hAnsiTheme="majorHAnsi"/>
        </w:rPr>
        <w:t>s home i</w:t>
      </w:r>
      <w:r w:rsidR="00596FC6" w:rsidRPr="007C4B78">
        <w:rPr>
          <w:rFonts w:asciiTheme="majorHAnsi" w:eastAsia="Calibri" w:hAnsiTheme="majorHAnsi"/>
        </w:rPr>
        <w:t>s with the family. When a child’</w:t>
      </w:r>
      <w:r w:rsidR="007D3C82" w:rsidRPr="007C4B78">
        <w:rPr>
          <w:rFonts w:asciiTheme="majorHAnsi" w:eastAsia="Calibri" w:hAnsiTheme="majorHAnsi"/>
        </w:rPr>
        <w:t>s home must be moved or disrupted through the intervention of the state</w:t>
      </w:r>
      <w:r w:rsidR="00596FC6" w:rsidRPr="007C4B78">
        <w:rPr>
          <w:rFonts w:asciiTheme="majorHAnsi" w:eastAsia="Calibri" w:hAnsiTheme="majorHAnsi"/>
        </w:rPr>
        <w:t>, the princip</w:t>
      </w:r>
      <w:r w:rsidR="007D3C82" w:rsidRPr="007C4B78">
        <w:rPr>
          <w:rFonts w:asciiTheme="majorHAnsi" w:eastAsia="Calibri" w:hAnsiTheme="majorHAnsi"/>
        </w:rPr>
        <w:t>l</w:t>
      </w:r>
      <w:r w:rsidR="00596FC6" w:rsidRPr="007C4B78">
        <w:rPr>
          <w:rFonts w:asciiTheme="majorHAnsi" w:eastAsia="Calibri" w:hAnsiTheme="majorHAnsi"/>
        </w:rPr>
        <w:t>e</w:t>
      </w:r>
      <w:r w:rsidR="007D3C82" w:rsidRPr="007C4B78">
        <w:rPr>
          <w:rFonts w:asciiTheme="majorHAnsi" w:eastAsia="Calibri" w:hAnsiTheme="majorHAnsi"/>
        </w:rPr>
        <w:t xml:space="preserve"> of the Convention on the Rights of the Child </w:t>
      </w:r>
      <w:r w:rsidR="00596FC6" w:rsidRPr="007C4B78">
        <w:rPr>
          <w:rFonts w:asciiTheme="majorHAnsi" w:eastAsia="Calibri" w:hAnsiTheme="majorHAnsi"/>
        </w:rPr>
        <w:t>requires that</w:t>
      </w:r>
      <w:r w:rsidR="007D3C82" w:rsidRPr="007C4B78">
        <w:rPr>
          <w:rFonts w:asciiTheme="majorHAnsi" w:eastAsia="Calibri" w:hAnsiTheme="majorHAnsi"/>
        </w:rPr>
        <w:t xml:space="preserve"> the child is involved in such an important decision. </w:t>
      </w:r>
      <w:r w:rsidR="00596FC6" w:rsidRPr="007C4B78">
        <w:rPr>
          <w:rFonts w:asciiTheme="majorHAnsi" w:eastAsia="Calibri" w:hAnsiTheme="majorHAnsi"/>
        </w:rPr>
        <w:t>Irish law and policy</w:t>
      </w:r>
      <w:r w:rsidR="007D3C82" w:rsidRPr="007C4B78">
        <w:rPr>
          <w:rFonts w:asciiTheme="majorHAnsi" w:eastAsia="Calibri" w:hAnsiTheme="majorHAnsi"/>
        </w:rPr>
        <w:t xml:space="preserve"> in this section </w:t>
      </w:r>
      <w:r w:rsidR="00596FC6" w:rsidRPr="007C4B78">
        <w:rPr>
          <w:rFonts w:asciiTheme="majorHAnsi" w:eastAsia="Calibri" w:hAnsiTheme="majorHAnsi"/>
        </w:rPr>
        <w:t>is</w:t>
      </w:r>
      <w:r w:rsidR="007D3C82" w:rsidRPr="007C4B78">
        <w:rPr>
          <w:rFonts w:asciiTheme="majorHAnsi" w:eastAsia="Calibri" w:hAnsiTheme="majorHAnsi"/>
        </w:rPr>
        <w:t xml:space="preserve"> examined with this principle in mind. </w:t>
      </w:r>
    </w:p>
    <w:p w14:paraId="7B33AF74" w14:textId="77777777" w:rsidR="00C1634F" w:rsidRPr="007C4B78" w:rsidRDefault="00780B84" w:rsidP="004D12C3">
      <w:pPr>
        <w:pStyle w:val="Heading2"/>
        <w:jc w:val="both"/>
        <w:rPr>
          <w:rFonts w:asciiTheme="majorHAnsi" w:hAnsiTheme="majorHAnsi"/>
        </w:rPr>
      </w:pPr>
      <w:bookmarkStart w:id="26" w:name="_Toc417303152"/>
      <w:r w:rsidRPr="007C4B78">
        <w:rPr>
          <w:rFonts w:asciiTheme="majorHAnsi" w:hAnsiTheme="majorHAnsi"/>
        </w:rPr>
        <w:t>Brief h</w:t>
      </w:r>
      <w:r w:rsidR="00614722" w:rsidRPr="007C4B78">
        <w:rPr>
          <w:rFonts w:asciiTheme="majorHAnsi" w:hAnsiTheme="majorHAnsi"/>
        </w:rPr>
        <w:t>istory of relevant laws and policies relating to care and custody and access to justice</w:t>
      </w:r>
      <w:bookmarkEnd w:id="26"/>
    </w:p>
    <w:p w14:paraId="08DEE157" w14:textId="77777777" w:rsidR="00614722" w:rsidRPr="007C4B78" w:rsidRDefault="00253FBA" w:rsidP="004D12C3">
      <w:pPr>
        <w:pStyle w:val="ColorfulList-Accent11"/>
        <w:ind w:left="0"/>
        <w:jc w:val="both"/>
        <w:rPr>
          <w:rFonts w:asciiTheme="majorHAnsi" w:hAnsiTheme="majorHAnsi"/>
        </w:rPr>
      </w:pPr>
      <w:r w:rsidRPr="007C4B78">
        <w:rPr>
          <w:rFonts w:asciiTheme="majorHAnsi" w:hAnsiTheme="majorHAnsi"/>
        </w:rPr>
        <w:t>Historically, the</w:t>
      </w:r>
      <w:r w:rsidR="00614722" w:rsidRPr="007C4B78">
        <w:rPr>
          <w:rFonts w:asciiTheme="majorHAnsi" w:hAnsiTheme="majorHAnsi"/>
        </w:rPr>
        <w:t xml:space="preserve"> practice of fostering</w:t>
      </w:r>
      <w:r w:rsidRPr="007C4B78">
        <w:rPr>
          <w:rFonts w:asciiTheme="majorHAnsi" w:hAnsiTheme="majorHAnsi"/>
        </w:rPr>
        <w:t xml:space="preserve"> is a well-established tradition</w:t>
      </w:r>
      <w:r w:rsidR="00614722" w:rsidRPr="007C4B78">
        <w:rPr>
          <w:rFonts w:asciiTheme="majorHAnsi" w:hAnsiTheme="majorHAnsi"/>
        </w:rPr>
        <w:t xml:space="preserve"> in Ireland</w:t>
      </w:r>
      <w:r w:rsidR="004D12C3" w:rsidRPr="007C4B78">
        <w:rPr>
          <w:rFonts w:asciiTheme="majorHAnsi" w:hAnsiTheme="majorHAnsi"/>
        </w:rPr>
        <w:t>, and</w:t>
      </w:r>
      <w:r w:rsidR="00BF5243" w:rsidRPr="007C4B78">
        <w:rPr>
          <w:rFonts w:asciiTheme="majorHAnsi" w:hAnsiTheme="majorHAnsi"/>
        </w:rPr>
        <w:t xml:space="preserve"> was often used to offset the burden of high birth</w:t>
      </w:r>
      <w:r w:rsidR="003C77B2" w:rsidRPr="007C4B78">
        <w:rPr>
          <w:rFonts w:asciiTheme="majorHAnsi" w:hAnsiTheme="majorHAnsi"/>
        </w:rPr>
        <w:t xml:space="preserve"> </w:t>
      </w:r>
      <w:r w:rsidR="00BF5243" w:rsidRPr="007C4B78">
        <w:rPr>
          <w:rFonts w:asciiTheme="majorHAnsi" w:hAnsiTheme="majorHAnsi"/>
        </w:rPr>
        <w:t>rates on families.</w:t>
      </w:r>
      <w:r w:rsidR="00BF5243" w:rsidRPr="007C4B78">
        <w:rPr>
          <w:rStyle w:val="FootnoteReference"/>
          <w:rFonts w:asciiTheme="majorHAnsi" w:hAnsiTheme="majorHAnsi"/>
        </w:rPr>
        <w:footnoteReference w:id="81"/>
      </w:r>
      <w:r w:rsidR="003C77B2" w:rsidRPr="007C4B78">
        <w:rPr>
          <w:rFonts w:asciiTheme="majorHAnsi" w:hAnsiTheme="majorHAnsi"/>
        </w:rPr>
        <w:t xml:space="preserve"> </w:t>
      </w:r>
      <w:r w:rsidRPr="007C4B78">
        <w:rPr>
          <w:rFonts w:asciiTheme="majorHAnsi" w:hAnsiTheme="majorHAnsi"/>
        </w:rPr>
        <w:t xml:space="preserve">Following </w:t>
      </w:r>
      <w:r w:rsidR="00891371" w:rsidRPr="007C4B78">
        <w:rPr>
          <w:rFonts w:asciiTheme="majorHAnsi" w:hAnsiTheme="majorHAnsi"/>
        </w:rPr>
        <w:t xml:space="preserve">independence, </w:t>
      </w:r>
      <w:r w:rsidR="002F0612" w:rsidRPr="007C4B78">
        <w:rPr>
          <w:rFonts w:asciiTheme="majorHAnsi" w:hAnsiTheme="majorHAnsi"/>
        </w:rPr>
        <w:t>t</w:t>
      </w:r>
      <w:r w:rsidR="00891371" w:rsidRPr="007C4B78">
        <w:rPr>
          <w:rFonts w:asciiTheme="majorHAnsi" w:hAnsiTheme="majorHAnsi"/>
        </w:rPr>
        <w:t>h</w:t>
      </w:r>
      <w:r w:rsidR="002F0612" w:rsidRPr="007C4B78">
        <w:rPr>
          <w:rFonts w:asciiTheme="majorHAnsi" w:hAnsiTheme="majorHAnsi"/>
        </w:rPr>
        <w:t>e</w:t>
      </w:r>
      <w:r w:rsidR="00891371" w:rsidRPr="007C4B78">
        <w:rPr>
          <w:rFonts w:asciiTheme="majorHAnsi" w:hAnsiTheme="majorHAnsi"/>
        </w:rPr>
        <w:t xml:space="preserve"> Irish State</w:t>
      </w:r>
      <w:r w:rsidR="003C77B2" w:rsidRPr="007C4B78">
        <w:rPr>
          <w:rFonts w:asciiTheme="majorHAnsi" w:hAnsiTheme="majorHAnsi"/>
        </w:rPr>
        <w:t xml:space="preserve"> </w:t>
      </w:r>
      <w:r w:rsidR="00891371" w:rsidRPr="007C4B78">
        <w:rPr>
          <w:rFonts w:asciiTheme="majorHAnsi" w:hAnsiTheme="majorHAnsi"/>
        </w:rPr>
        <w:t xml:space="preserve">provided for </w:t>
      </w:r>
      <w:r w:rsidR="002F0612" w:rsidRPr="007C4B78">
        <w:rPr>
          <w:rFonts w:asciiTheme="majorHAnsi" w:hAnsiTheme="majorHAnsi"/>
        </w:rPr>
        <w:t>foster care under the remit of Health Boards</w:t>
      </w:r>
      <w:r w:rsidR="00891371" w:rsidRPr="007C4B78">
        <w:rPr>
          <w:rFonts w:asciiTheme="majorHAnsi" w:hAnsiTheme="majorHAnsi"/>
        </w:rPr>
        <w:t xml:space="preserve"> (now the Health Service Executive)</w:t>
      </w:r>
      <w:r w:rsidR="002F0612" w:rsidRPr="007C4B78">
        <w:rPr>
          <w:rFonts w:asciiTheme="majorHAnsi" w:hAnsiTheme="majorHAnsi"/>
        </w:rPr>
        <w:t xml:space="preserve"> and stated a preference for foster care over residential school</w:t>
      </w:r>
      <w:r w:rsidR="00C1634F" w:rsidRPr="007C4B78">
        <w:rPr>
          <w:rFonts w:asciiTheme="majorHAnsi" w:hAnsiTheme="majorHAnsi"/>
        </w:rPr>
        <w:t>s</w:t>
      </w:r>
      <w:r w:rsidR="002F0612" w:rsidRPr="007C4B78">
        <w:rPr>
          <w:rFonts w:asciiTheme="majorHAnsi" w:hAnsiTheme="majorHAnsi"/>
        </w:rPr>
        <w:t>.</w:t>
      </w:r>
      <w:r w:rsidR="002F0612" w:rsidRPr="007C4B78">
        <w:rPr>
          <w:rStyle w:val="FootnoteReference"/>
          <w:rFonts w:asciiTheme="majorHAnsi" w:hAnsiTheme="majorHAnsi"/>
        </w:rPr>
        <w:footnoteReference w:id="82"/>
      </w:r>
    </w:p>
    <w:p w14:paraId="6977852B" w14:textId="77777777" w:rsidR="006170CB" w:rsidRPr="007C4B78" w:rsidRDefault="006170CB" w:rsidP="004D12C3">
      <w:pPr>
        <w:pStyle w:val="ColorfulList-Accent11"/>
        <w:ind w:left="0"/>
        <w:jc w:val="both"/>
        <w:rPr>
          <w:rFonts w:asciiTheme="majorHAnsi" w:hAnsiTheme="majorHAnsi"/>
        </w:rPr>
      </w:pPr>
    </w:p>
    <w:p w14:paraId="293CB62A" w14:textId="77777777" w:rsidR="006170CB" w:rsidRPr="007C4B78" w:rsidRDefault="00891371" w:rsidP="004D12C3">
      <w:pPr>
        <w:pStyle w:val="ColorfulList-Accent11"/>
        <w:ind w:left="0"/>
        <w:jc w:val="both"/>
        <w:rPr>
          <w:rFonts w:asciiTheme="majorHAnsi" w:hAnsiTheme="majorHAnsi"/>
        </w:rPr>
      </w:pPr>
      <w:r w:rsidRPr="007C4B78">
        <w:rPr>
          <w:rFonts w:asciiTheme="majorHAnsi" w:hAnsiTheme="majorHAnsi"/>
        </w:rPr>
        <w:t>C</w:t>
      </w:r>
      <w:r w:rsidR="006170CB" w:rsidRPr="007C4B78">
        <w:rPr>
          <w:rFonts w:asciiTheme="majorHAnsi" w:hAnsiTheme="majorHAnsi"/>
        </w:rPr>
        <w:t xml:space="preserve">hildren with </w:t>
      </w:r>
      <w:r w:rsidR="00464197" w:rsidRPr="007C4B78">
        <w:rPr>
          <w:rFonts w:asciiTheme="majorHAnsi" w:hAnsiTheme="majorHAnsi"/>
        </w:rPr>
        <w:t>disabilities historically</w:t>
      </w:r>
      <w:r w:rsidR="007C08D0" w:rsidRPr="007C4B78">
        <w:rPr>
          <w:rFonts w:asciiTheme="majorHAnsi" w:hAnsiTheme="majorHAnsi"/>
        </w:rPr>
        <w:t xml:space="preserve"> in Ireland </w:t>
      </w:r>
      <w:r w:rsidR="006170CB" w:rsidRPr="007C4B78">
        <w:rPr>
          <w:rFonts w:asciiTheme="majorHAnsi" w:hAnsiTheme="majorHAnsi"/>
        </w:rPr>
        <w:t xml:space="preserve">were often taken from their families at a young age and placed in </w:t>
      </w:r>
      <w:r w:rsidR="004F5613" w:rsidRPr="007C4B78">
        <w:rPr>
          <w:rFonts w:asciiTheme="majorHAnsi" w:hAnsiTheme="majorHAnsi"/>
        </w:rPr>
        <w:t xml:space="preserve">special </w:t>
      </w:r>
      <w:r w:rsidR="006170CB" w:rsidRPr="007C4B78">
        <w:rPr>
          <w:rFonts w:asciiTheme="majorHAnsi" w:hAnsiTheme="majorHAnsi"/>
        </w:rPr>
        <w:t>residential schools</w:t>
      </w:r>
      <w:r w:rsidRPr="007C4B78">
        <w:rPr>
          <w:rFonts w:asciiTheme="majorHAnsi" w:hAnsiTheme="majorHAnsi"/>
        </w:rPr>
        <w:t>, rather tha</w:t>
      </w:r>
      <w:r w:rsidR="00DA769D" w:rsidRPr="007C4B78">
        <w:rPr>
          <w:rFonts w:asciiTheme="majorHAnsi" w:hAnsiTheme="majorHAnsi"/>
        </w:rPr>
        <w:t>n being placed into foster care</w:t>
      </w:r>
      <w:r w:rsidR="007C08D0" w:rsidRPr="007C4B78">
        <w:rPr>
          <w:rFonts w:asciiTheme="majorHAnsi" w:hAnsiTheme="majorHAnsi"/>
        </w:rPr>
        <w:t>.</w:t>
      </w:r>
      <w:r w:rsidR="00DA769D" w:rsidRPr="007C4B78">
        <w:rPr>
          <w:rFonts w:asciiTheme="majorHAnsi" w:hAnsiTheme="majorHAnsi"/>
        </w:rPr>
        <w:t xml:space="preserve"> Appropriate support was often not provided to families to support them to keep children with cognitive disabilities at home.</w:t>
      </w:r>
      <w:r w:rsidR="007D3C82" w:rsidRPr="007C4B78">
        <w:rPr>
          <w:rStyle w:val="FootnoteReference"/>
          <w:rFonts w:asciiTheme="majorHAnsi" w:hAnsiTheme="majorHAnsi"/>
        </w:rPr>
        <w:footnoteReference w:id="83"/>
      </w:r>
      <w:r w:rsidR="007C08D0" w:rsidRPr="007C4B78">
        <w:rPr>
          <w:rFonts w:asciiTheme="majorHAnsi" w:hAnsiTheme="majorHAnsi"/>
        </w:rPr>
        <w:t xml:space="preserve"> A study of older people with intellectual disabilities in Ireland recorded how many of them remember being assessed and removed from their families and schools.</w:t>
      </w:r>
      <w:r w:rsidR="007C08D0" w:rsidRPr="007C4B78">
        <w:rPr>
          <w:rStyle w:val="FootnoteReference"/>
          <w:rFonts w:asciiTheme="majorHAnsi" w:hAnsiTheme="majorHAnsi"/>
        </w:rPr>
        <w:footnoteReference w:id="84"/>
      </w:r>
      <w:r w:rsidR="003C77B2" w:rsidRPr="007C4B78">
        <w:rPr>
          <w:rFonts w:asciiTheme="majorHAnsi" w:hAnsiTheme="majorHAnsi"/>
        </w:rPr>
        <w:t xml:space="preserve"> </w:t>
      </w:r>
      <w:r w:rsidR="001E0560" w:rsidRPr="007C4B78">
        <w:rPr>
          <w:rFonts w:asciiTheme="majorHAnsi" w:hAnsiTheme="majorHAnsi"/>
        </w:rPr>
        <w:t xml:space="preserve">At the time of writing, full time </w:t>
      </w:r>
      <w:r w:rsidR="004F5613" w:rsidRPr="007C4B78">
        <w:rPr>
          <w:rFonts w:asciiTheme="majorHAnsi" w:hAnsiTheme="majorHAnsi"/>
        </w:rPr>
        <w:t xml:space="preserve">residential schools for children with intellectual or cognitive disabilities no longer exist in Ireland. </w:t>
      </w:r>
    </w:p>
    <w:p w14:paraId="1925202F" w14:textId="77777777" w:rsidR="00AD6530" w:rsidRPr="007C4B78" w:rsidRDefault="00AD6530" w:rsidP="004D12C3">
      <w:pPr>
        <w:pStyle w:val="ColorfulList-Accent11"/>
        <w:ind w:left="0"/>
        <w:jc w:val="both"/>
        <w:rPr>
          <w:rFonts w:asciiTheme="majorHAnsi" w:hAnsiTheme="majorHAnsi"/>
        </w:rPr>
      </w:pPr>
    </w:p>
    <w:p w14:paraId="40506405" w14:textId="77777777" w:rsidR="007C08D0" w:rsidRPr="007C4B78" w:rsidRDefault="007C08D0" w:rsidP="004D12C3">
      <w:pPr>
        <w:pStyle w:val="ColorfulList-Accent11"/>
        <w:ind w:left="0"/>
        <w:jc w:val="both"/>
        <w:rPr>
          <w:rFonts w:asciiTheme="majorHAnsi" w:eastAsia="Calibri" w:hAnsiTheme="majorHAnsi"/>
        </w:rPr>
      </w:pPr>
      <w:r w:rsidRPr="007C4B78">
        <w:rPr>
          <w:rFonts w:asciiTheme="majorHAnsi" w:eastAsia="Calibri" w:hAnsiTheme="majorHAnsi"/>
        </w:rPr>
        <w:t>As previously noted</w:t>
      </w:r>
      <w:r w:rsidR="00840127" w:rsidRPr="007C4B78">
        <w:rPr>
          <w:rFonts w:asciiTheme="majorHAnsi" w:eastAsia="Calibri" w:hAnsiTheme="majorHAnsi"/>
        </w:rPr>
        <w:t>,</w:t>
      </w:r>
      <w:r w:rsidRPr="007C4B78">
        <w:rPr>
          <w:rFonts w:asciiTheme="majorHAnsi" w:eastAsia="Calibri" w:hAnsiTheme="majorHAnsi"/>
        </w:rPr>
        <w:t xml:space="preserve"> Ireland has a constitutional provision protecting the </w:t>
      </w:r>
      <w:r w:rsidR="00840127" w:rsidRPr="007C4B78">
        <w:rPr>
          <w:rFonts w:asciiTheme="majorHAnsi" w:eastAsia="Calibri" w:hAnsiTheme="majorHAnsi"/>
        </w:rPr>
        <w:t>rights of the family to make decisions about children, free from arbitrary and unwarranted interference from the State</w:t>
      </w:r>
      <w:r w:rsidRPr="007C4B78">
        <w:rPr>
          <w:rFonts w:asciiTheme="majorHAnsi" w:eastAsia="Calibri" w:hAnsiTheme="majorHAnsi"/>
        </w:rPr>
        <w:t>.</w:t>
      </w:r>
      <w:r w:rsidRPr="007C4B78">
        <w:rPr>
          <w:rStyle w:val="FootnoteReference"/>
          <w:rFonts w:asciiTheme="majorHAnsi" w:eastAsia="Calibri" w:hAnsiTheme="majorHAnsi"/>
        </w:rPr>
        <w:footnoteReference w:id="85"/>
      </w:r>
      <w:r w:rsidR="00840127" w:rsidRPr="007C4B78">
        <w:rPr>
          <w:rFonts w:asciiTheme="majorHAnsi" w:eastAsia="Calibri" w:hAnsiTheme="majorHAnsi"/>
        </w:rPr>
        <w:t xml:space="preserve">Some </w:t>
      </w:r>
      <w:proofErr w:type="gramStart"/>
      <w:r w:rsidR="00840127" w:rsidRPr="007C4B78">
        <w:rPr>
          <w:rFonts w:asciiTheme="majorHAnsi" w:eastAsia="Calibri" w:hAnsiTheme="majorHAnsi"/>
        </w:rPr>
        <w:t>commentators</w:t>
      </w:r>
      <w:proofErr w:type="gramEnd"/>
      <w:r w:rsidR="00840127" w:rsidRPr="007C4B78">
        <w:rPr>
          <w:rFonts w:asciiTheme="majorHAnsi" w:eastAsia="Calibri" w:hAnsiTheme="majorHAnsi"/>
        </w:rPr>
        <w:t xml:space="preserve"> view that t</w:t>
      </w:r>
      <w:r w:rsidRPr="007C4B78">
        <w:rPr>
          <w:rFonts w:asciiTheme="majorHAnsi" w:eastAsia="Calibri" w:hAnsiTheme="majorHAnsi"/>
        </w:rPr>
        <w:t xml:space="preserve">his </w:t>
      </w:r>
      <w:r w:rsidRPr="007C4B78">
        <w:rPr>
          <w:rFonts w:asciiTheme="majorHAnsi" w:eastAsia="Calibri" w:hAnsiTheme="majorHAnsi"/>
        </w:rPr>
        <w:lastRenderedPageBreak/>
        <w:t xml:space="preserve">constitutional provision </w:t>
      </w:r>
      <w:r w:rsidR="00840127" w:rsidRPr="007C4B78">
        <w:rPr>
          <w:rFonts w:asciiTheme="majorHAnsi" w:eastAsia="Calibri" w:hAnsiTheme="majorHAnsi"/>
        </w:rPr>
        <w:t xml:space="preserve">can </w:t>
      </w:r>
      <w:r w:rsidRPr="007C4B78">
        <w:rPr>
          <w:rFonts w:asciiTheme="majorHAnsi" w:eastAsia="Calibri" w:hAnsiTheme="majorHAnsi"/>
        </w:rPr>
        <w:t>result in the suppression of the rights of the child for the sake of the protection of the family.</w:t>
      </w:r>
      <w:r w:rsidRPr="007C4B78">
        <w:rPr>
          <w:rStyle w:val="FootnoteReference"/>
          <w:rFonts w:asciiTheme="majorHAnsi" w:eastAsia="Calibri" w:hAnsiTheme="majorHAnsi"/>
        </w:rPr>
        <w:footnoteReference w:id="86"/>
      </w:r>
    </w:p>
    <w:p w14:paraId="6719EF74" w14:textId="77777777" w:rsidR="001B5B1E" w:rsidRPr="007C4B78" w:rsidRDefault="001B5B1E" w:rsidP="004D12C3">
      <w:pPr>
        <w:jc w:val="both"/>
        <w:rPr>
          <w:rFonts w:asciiTheme="majorHAnsi" w:eastAsia="Calibri" w:hAnsiTheme="majorHAnsi"/>
        </w:rPr>
      </w:pPr>
    </w:p>
    <w:p w14:paraId="69041499" w14:textId="77777777" w:rsidR="001B5B1E" w:rsidRPr="007C4B78" w:rsidRDefault="001B5B1E"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t>In 2012</w:t>
      </w:r>
      <w:r w:rsidR="00660155" w:rsidRPr="007C4B78">
        <w:rPr>
          <w:rFonts w:asciiTheme="majorHAnsi" w:hAnsiTheme="majorHAnsi"/>
        </w:rPr>
        <w:t xml:space="preserve">, </w:t>
      </w:r>
      <w:r w:rsidRPr="007C4B78">
        <w:rPr>
          <w:rFonts w:asciiTheme="majorHAnsi" w:hAnsiTheme="majorHAnsi"/>
        </w:rPr>
        <w:t xml:space="preserve">1,384 care orders, 4,862 </w:t>
      </w:r>
      <w:proofErr w:type="gramStart"/>
      <w:r w:rsidRPr="007C4B78">
        <w:rPr>
          <w:rFonts w:asciiTheme="majorHAnsi" w:hAnsiTheme="majorHAnsi"/>
        </w:rPr>
        <w:t>interim</w:t>
      </w:r>
      <w:proofErr w:type="gramEnd"/>
      <w:r w:rsidRPr="007C4B78">
        <w:rPr>
          <w:rFonts w:asciiTheme="majorHAnsi" w:hAnsiTheme="majorHAnsi"/>
        </w:rPr>
        <w:t xml:space="preserve"> care orders and 424 emergency care orders </w:t>
      </w:r>
      <w:r w:rsidR="00660155" w:rsidRPr="007C4B78">
        <w:rPr>
          <w:rFonts w:asciiTheme="majorHAnsi" w:hAnsiTheme="majorHAnsi"/>
        </w:rPr>
        <w:t xml:space="preserve">were </w:t>
      </w:r>
      <w:r w:rsidRPr="007C4B78">
        <w:rPr>
          <w:rFonts w:asciiTheme="majorHAnsi" w:hAnsiTheme="majorHAnsi"/>
        </w:rPr>
        <w:t>granted</w:t>
      </w:r>
      <w:r w:rsidR="00660155" w:rsidRPr="007C4B78">
        <w:rPr>
          <w:rFonts w:asciiTheme="majorHAnsi" w:hAnsiTheme="majorHAnsi"/>
        </w:rPr>
        <w:t xml:space="preserve"> in Ireland</w:t>
      </w:r>
      <w:r w:rsidRPr="007C4B78">
        <w:rPr>
          <w:rFonts w:asciiTheme="majorHAnsi" w:hAnsiTheme="majorHAnsi"/>
        </w:rPr>
        <w:t>.</w:t>
      </w:r>
      <w:r w:rsidRPr="007C4B78">
        <w:rPr>
          <w:rStyle w:val="FootnoteReference"/>
          <w:rFonts w:asciiTheme="majorHAnsi" w:hAnsiTheme="majorHAnsi"/>
        </w:rPr>
        <w:footnoteReference w:id="87"/>
      </w:r>
      <w:r w:rsidRPr="007C4B78">
        <w:rPr>
          <w:rFonts w:asciiTheme="majorHAnsi" w:hAnsiTheme="majorHAnsi"/>
        </w:rPr>
        <w:t xml:space="preserve"> It is important to note that there </w:t>
      </w:r>
      <w:proofErr w:type="gramStart"/>
      <w:r w:rsidRPr="007C4B78">
        <w:rPr>
          <w:rFonts w:asciiTheme="majorHAnsi" w:hAnsiTheme="majorHAnsi"/>
        </w:rPr>
        <w:t>are</w:t>
      </w:r>
      <w:proofErr w:type="gramEnd"/>
      <w:r w:rsidRPr="007C4B78">
        <w:rPr>
          <w:rFonts w:asciiTheme="majorHAnsi" w:hAnsiTheme="majorHAnsi"/>
        </w:rPr>
        <w:t xml:space="preserve"> no statistics kept on voluntary </w:t>
      </w:r>
      <w:r w:rsidR="00660155" w:rsidRPr="007C4B78">
        <w:rPr>
          <w:rFonts w:asciiTheme="majorHAnsi" w:hAnsiTheme="majorHAnsi"/>
        </w:rPr>
        <w:t>placements of children – for example children being placed voluntarily with a relative</w:t>
      </w:r>
      <w:r w:rsidR="005E7912" w:rsidRPr="007C4B78">
        <w:rPr>
          <w:rFonts w:asciiTheme="majorHAnsi" w:hAnsiTheme="majorHAnsi"/>
        </w:rPr>
        <w:t xml:space="preserve">, in Ireland. </w:t>
      </w:r>
    </w:p>
    <w:p w14:paraId="5C971B28" w14:textId="77777777" w:rsidR="001B5B1E" w:rsidRPr="007C4B78" w:rsidRDefault="001B5B1E" w:rsidP="004D12C3">
      <w:pPr>
        <w:pStyle w:val="task"/>
        <w:tabs>
          <w:tab w:val="clear" w:pos="680"/>
          <w:tab w:val="left" w:pos="0"/>
          <w:tab w:val="left" w:pos="1994"/>
        </w:tabs>
        <w:ind w:left="0" w:firstLine="0"/>
        <w:jc w:val="both"/>
        <w:rPr>
          <w:rFonts w:asciiTheme="majorHAnsi" w:hAnsiTheme="majorHAnsi"/>
        </w:rPr>
      </w:pPr>
      <w:r w:rsidRPr="007C4B78">
        <w:rPr>
          <w:rFonts w:asciiTheme="majorHAnsi" w:hAnsiTheme="majorHAnsi"/>
        </w:rPr>
        <w:tab/>
      </w:r>
    </w:p>
    <w:p w14:paraId="2BF9A4C0" w14:textId="77777777" w:rsidR="001B5B1E" w:rsidRPr="007C4B78" w:rsidRDefault="001B5B1E"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t>I</w:t>
      </w:r>
      <w:r w:rsidR="005E7912" w:rsidRPr="007C4B78">
        <w:rPr>
          <w:rFonts w:asciiTheme="majorHAnsi" w:hAnsiTheme="majorHAnsi"/>
        </w:rPr>
        <w:t xml:space="preserve">n an interview for this project, </w:t>
      </w:r>
      <w:r w:rsidRPr="007C4B78">
        <w:rPr>
          <w:rFonts w:asciiTheme="majorHAnsi" w:hAnsiTheme="majorHAnsi"/>
        </w:rPr>
        <w:t>one district court judge noted that many of the care cases she sees involve very young children where it would be difficult to include the voice of the child.</w:t>
      </w:r>
      <w:r w:rsidRPr="007C4B78">
        <w:rPr>
          <w:rStyle w:val="FootnoteReference"/>
          <w:rFonts w:asciiTheme="majorHAnsi" w:hAnsiTheme="majorHAnsi"/>
        </w:rPr>
        <w:footnoteReference w:id="88"/>
      </w:r>
      <w:r w:rsidRPr="007C4B78">
        <w:rPr>
          <w:rFonts w:asciiTheme="majorHAnsi" w:hAnsiTheme="majorHAnsi"/>
        </w:rPr>
        <w:t xml:space="preserve"> This was confirmed in the interim report of the Child Care Law </w:t>
      </w:r>
      <w:r w:rsidR="00464197" w:rsidRPr="007C4B78">
        <w:rPr>
          <w:rFonts w:asciiTheme="majorHAnsi" w:hAnsiTheme="majorHAnsi"/>
        </w:rPr>
        <w:t>Project, which</w:t>
      </w:r>
      <w:r w:rsidRPr="007C4B78">
        <w:rPr>
          <w:rFonts w:asciiTheme="majorHAnsi" w:hAnsiTheme="majorHAnsi"/>
        </w:rPr>
        <w:t xml:space="preserve"> stated that of the 573 children who </w:t>
      </w:r>
      <w:r w:rsidR="00464197" w:rsidRPr="007C4B78">
        <w:rPr>
          <w:rFonts w:asciiTheme="majorHAnsi" w:hAnsiTheme="majorHAnsi"/>
        </w:rPr>
        <w:t>were the subjects</w:t>
      </w:r>
      <w:r w:rsidRPr="007C4B78">
        <w:rPr>
          <w:rFonts w:asciiTheme="majorHAnsi" w:hAnsiTheme="majorHAnsi"/>
        </w:rPr>
        <w:t xml:space="preserve"> of care orders 186 were 0-4 years old and a further 181 were 5-9 years old.</w:t>
      </w:r>
      <w:r w:rsidRPr="007C4B78">
        <w:rPr>
          <w:rStyle w:val="FootnoteReference"/>
          <w:rFonts w:asciiTheme="majorHAnsi" w:hAnsiTheme="majorHAnsi"/>
        </w:rPr>
        <w:footnoteReference w:id="89"/>
      </w:r>
      <w:r w:rsidR="00565DBB" w:rsidRPr="007C4B78">
        <w:rPr>
          <w:rFonts w:asciiTheme="majorHAnsi" w:hAnsiTheme="majorHAnsi"/>
        </w:rPr>
        <w:t xml:space="preserve"> Nevertheless, efforts to ascertain the views of the child, in accordance with the child’s age and maturity, can still be made. While the views of children with cognitive disabilities</w:t>
      </w:r>
      <w:r w:rsidR="00704731" w:rsidRPr="007C4B78">
        <w:rPr>
          <w:rFonts w:asciiTheme="majorHAnsi" w:hAnsiTheme="majorHAnsi"/>
        </w:rPr>
        <w:t xml:space="preserve"> about where and with whom to live</w:t>
      </w:r>
      <w:r w:rsidR="00565DBB" w:rsidRPr="007C4B78">
        <w:rPr>
          <w:rFonts w:asciiTheme="majorHAnsi" w:hAnsiTheme="majorHAnsi"/>
        </w:rPr>
        <w:t xml:space="preserve"> might be even more difficult to ascertain, this process is essential to ensure effective access to justice for children with cognitive disabilities in care in Ireland.</w:t>
      </w:r>
    </w:p>
    <w:p w14:paraId="23321DB6" w14:textId="77777777" w:rsidR="00C4733C" w:rsidRPr="007C4B78" w:rsidRDefault="00C4733C" w:rsidP="004D12C3">
      <w:pPr>
        <w:pStyle w:val="task"/>
        <w:tabs>
          <w:tab w:val="clear" w:pos="680"/>
          <w:tab w:val="left" w:pos="0"/>
        </w:tabs>
        <w:ind w:left="0" w:firstLine="0"/>
        <w:jc w:val="both"/>
        <w:rPr>
          <w:rFonts w:asciiTheme="majorHAnsi" w:hAnsiTheme="majorHAnsi"/>
        </w:rPr>
      </w:pPr>
    </w:p>
    <w:p w14:paraId="54AA9F4A" w14:textId="77777777" w:rsidR="006B0B5F" w:rsidRPr="007C4B78" w:rsidRDefault="006B0B5F"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t>Kilkelly’s a</w:t>
      </w:r>
      <w:r w:rsidR="002304DD" w:rsidRPr="007C4B78">
        <w:rPr>
          <w:rFonts w:asciiTheme="majorHAnsi" w:hAnsiTheme="majorHAnsi"/>
        </w:rPr>
        <w:t>rticle on barriers to the realis</w:t>
      </w:r>
      <w:r w:rsidRPr="007C4B78">
        <w:rPr>
          <w:rFonts w:asciiTheme="majorHAnsi" w:hAnsiTheme="majorHAnsi"/>
        </w:rPr>
        <w:t xml:space="preserve">ation of children’s rights highlights in particular the problems of children in care in Ireland and recommends that more effort </w:t>
      </w:r>
      <w:r w:rsidR="00464197" w:rsidRPr="007C4B78">
        <w:rPr>
          <w:rFonts w:asciiTheme="majorHAnsi" w:hAnsiTheme="majorHAnsi"/>
        </w:rPr>
        <w:t>be</w:t>
      </w:r>
      <w:r w:rsidRPr="007C4B78">
        <w:rPr>
          <w:rFonts w:asciiTheme="majorHAnsi" w:hAnsiTheme="majorHAnsi"/>
        </w:rPr>
        <w:t xml:space="preserve"> put into preventing the child from being placed in care in the first place.</w:t>
      </w:r>
      <w:r w:rsidRPr="007C4B78">
        <w:rPr>
          <w:rStyle w:val="FootnoteReference"/>
          <w:rFonts w:asciiTheme="majorHAnsi" w:hAnsiTheme="majorHAnsi"/>
        </w:rPr>
        <w:footnoteReference w:id="90"/>
      </w:r>
      <w:r w:rsidRPr="007C4B78">
        <w:rPr>
          <w:rFonts w:asciiTheme="majorHAnsi" w:hAnsiTheme="majorHAnsi"/>
        </w:rPr>
        <w:t>Her report notes that the key barriers are the invisibility of children and failure to listen to children’s views,</w:t>
      </w:r>
      <w:r w:rsidR="009363CC" w:rsidRPr="007C4B78">
        <w:rPr>
          <w:rFonts w:asciiTheme="majorHAnsi" w:hAnsiTheme="majorHAnsi"/>
        </w:rPr>
        <w:t xml:space="preserve"> the</w:t>
      </w:r>
      <w:r w:rsidRPr="007C4B78">
        <w:rPr>
          <w:rFonts w:asciiTheme="majorHAnsi" w:hAnsiTheme="majorHAnsi"/>
        </w:rPr>
        <w:t xml:space="preserve"> lack of a child focus, rights-basis and </w:t>
      </w:r>
      <w:proofErr w:type="gramStart"/>
      <w:r w:rsidRPr="007C4B78">
        <w:rPr>
          <w:rFonts w:asciiTheme="majorHAnsi" w:hAnsiTheme="majorHAnsi"/>
        </w:rPr>
        <w:t>child-proofing</w:t>
      </w:r>
      <w:proofErr w:type="gramEnd"/>
      <w:r w:rsidRPr="007C4B78">
        <w:rPr>
          <w:rFonts w:asciiTheme="majorHAnsi" w:hAnsiTheme="majorHAnsi"/>
        </w:rPr>
        <w:t xml:space="preserve"> </w:t>
      </w:r>
      <w:r w:rsidR="009363CC" w:rsidRPr="007C4B78">
        <w:rPr>
          <w:rFonts w:asciiTheme="majorHAnsi" w:hAnsiTheme="majorHAnsi"/>
        </w:rPr>
        <w:t xml:space="preserve">of </w:t>
      </w:r>
      <w:r w:rsidRPr="007C4B78">
        <w:rPr>
          <w:rFonts w:asciiTheme="majorHAnsi" w:hAnsiTheme="majorHAnsi"/>
        </w:rPr>
        <w:t>legislation and policy, and inadequate administrative and reporting structures.</w:t>
      </w:r>
      <w:r w:rsidR="009363CC" w:rsidRPr="007C4B78">
        <w:rPr>
          <w:rFonts w:asciiTheme="majorHAnsi" w:hAnsiTheme="majorHAnsi"/>
        </w:rPr>
        <w:t xml:space="preserve"> These findings are supported by McGree’s research on children in foster care, which set out </w:t>
      </w:r>
      <w:r w:rsidRPr="007C4B78">
        <w:rPr>
          <w:rFonts w:asciiTheme="majorHAnsi" w:hAnsiTheme="majorHAnsi"/>
        </w:rPr>
        <w:t xml:space="preserve">recommendations </w:t>
      </w:r>
      <w:r w:rsidR="009363CC" w:rsidRPr="007C4B78">
        <w:rPr>
          <w:rFonts w:asciiTheme="majorHAnsi" w:hAnsiTheme="majorHAnsi"/>
        </w:rPr>
        <w:t>to better ensure that the</w:t>
      </w:r>
      <w:r w:rsidRPr="007C4B78">
        <w:rPr>
          <w:rFonts w:asciiTheme="majorHAnsi" w:hAnsiTheme="majorHAnsi"/>
        </w:rPr>
        <w:t xml:space="preserve"> child’s voice </w:t>
      </w:r>
      <w:r w:rsidR="009363CC" w:rsidRPr="007C4B78">
        <w:rPr>
          <w:rFonts w:asciiTheme="majorHAnsi" w:hAnsiTheme="majorHAnsi"/>
        </w:rPr>
        <w:t xml:space="preserve">is </w:t>
      </w:r>
      <w:r w:rsidRPr="007C4B78">
        <w:rPr>
          <w:rFonts w:asciiTheme="majorHAnsi" w:hAnsiTheme="majorHAnsi"/>
        </w:rPr>
        <w:t>supported and represented</w:t>
      </w:r>
      <w:r w:rsidR="009363CC" w:rsidRPr="007C4B78">
        <w:rPr>
          <w:rFonts w:asciiTheme="majorHAnsi" w:hAnsiTheme="majorHAnsi"/>
        </w:rPr>
        <w:t xml:space="preserve"> in the foster care process</w:t>
      </w:r>
      <w:r w:rsidRPr="007C4B78">
        <w:rPr>
          <w:rFonts w:asciiTheme="majorHAnsi" w:hAnsiTheme="majorHAnsi"/>
        </w:rPr>
        <w:t>.</w:t>
      </w:r>
      <w:r w:rsidRPr="007C4B78">
        <w:rPr>
          <w:rStyle w:val="FootnoteReference"/>
          <w:rFonts w:asciiTheme="majorHAnsi" w:hAnsiTheme="majorHAnsi"/>
        </w:rPr>
        <w:footnoteReference w:id="91"/>
      </w:r>
      <w:r w:rsidR="0000649C" w:rsidRPr="007C4B78">
        <w:rPr>
          <w:rFonts w:asciiTheme="majorHAnsi" w:hAnsiTheme="majorHAnsi"/>
        </w:rPr>
        <w:t xml:space="preserve"> </w:t>
      </w:r>
      <w:r w:rsidR="00030FD8" w:rsidRPr="007C4B78">
        <w:rPr>
          <w:rFonts w:asciiTheme="majorHAnsi" w:hAnsiTheme="majorHAnsi"/>
        </w:rPr>
        <w:t xml:space="preserve">Darmody's </w:t>
      </w:r>
      <w:r w:rsidR="00C4733C" w:rsidRPr="007C4B78">
        <w:rPr>
          <w:rFonts w:asciiTheme="majorHAnsi" w:hAnsiTheme="majorHAnsi"/>
        </w:rPr>
        <w:t>further</w:t>
      </w:r>
      <w:r w:rsidR="005D2DEE" w:rsidRPr="007C4B78">
        <w:rPr>
          <w:rFonts w:asciiTheme="majorHAnsi" w:hAnsiTheme="majorHAnsi"/>
        </w:rPr>
        <w:t xml:space="preserve"> research</w:t>
      </w:r>
      <w:r w:rsidR="0000649C" w:rsidRPr="007C4B78">
        <w:rPr>
          <w:rFonts w:asciiTheme="majorHAnsi" w:hAnsiTheme="majorHAnsi"/>
        </w:rPr>
        <w:t xml:space="preserve"> </w:t>
      </w:r>
      <w:r w:rsidRPr="007C4B78">
        <w:rPr>
          <w:rFonts w:asciiTheme="majorHAnsi" w:hAnsiTheme="majorHAnsi"/>
        </w:rPr>
        <w:t>on the education of children in care in Ireland</w:t>
      </w:r>
      <w:r w:rsidR="00C4733C" w:rsidRPr="007C4B78">
        <w:rPr>
          <w:rFonts w:asciiTheme="majorHAnsi" w:hAnsiTheme="majorHAnsi"/>
        </w:rPr>
        <w:t xml:space="preserve"> also</w:t>
      </w:r>
      <w:r w:rsidR="005D2DEE" w:rsidRPr="007C4B78">
        <w:rPr>
          <w:rFonts w:asciiTheme="majorHAnsi" w:hAnsiTheme="majorHAnsi"/>
        </w:rPr>
        <w:t xml:space="preserve"> reflects these concerns;</w:t>
      </w:r>
      <w:r w:rsidRPr="007C4B78">
        <w:rPr>
          <w:rStyle w:val="FootnoteReference"/>
          <w:rFonts w:asciiTheme="majorHAnsi" w:hAnsiTheme="majorHAnsi"/>
        </w:rPr>
        <w:footnoteReference w:id="92"/>
      </w:r>
      <w:r w:rsidRPr="007C4B78">
        <w:rPr>
          <w:rFonts w:asciiTheme="majorHAnsi" w:hAnsiTheme="majorHAnsi"/>
        </w:rPr>
        <w:t xml:space="preserve"> however,</w:t>
      </w:r>
      <w:r w:rsidR="005D2DEE" w:rsidRPr="007C4B78">
        <w:rPr>
          <w:rFonts w:asciiTheme="majorHAnsi" w:hAnsiTheme="majorHAnsi"/>
        </w:rPr>
        <w:t xml:space="preserve"> th</w:t>
      </w:r>
      <w:r w:rsidR="00C4733C" w:rsidRPr="007C4B78">
        <w:rPr>
          <w:rFonts w:asciiTheme="majorHAnsi" w:hAnsiTheme="majorHAnsi"/>
        </w:rPr>
        <w:t>at</w:t>
      </w:r>
      <w:r w:rsidR="0000649C" w:rsidRPr="007C4B78">
        <w:rPr>
          <w:rFonts w:asciiTheme="majorHAnsi" w:hAnsiTheme="majorHAnsi"/>
        </w:rPr>
        <w:t xml:space="preserve"> </w:t>
      </w:r>
      <w:proofErr w:type="gramStart"/>
      <w:r w:rsidR="005D2DEE" w:rsidRPr="007C4B78">
        <w:rPr>
          <w:rFonts w:asciiTheme="majorHAnsi" w:hAnsiTheme="majorHAnsi"/>
        </w:rPr>
        <w:t xml:space="preserve">report </w:t>
      </w:r>
      <w:r w:rsidRPr="007C4B78">
        <w:rPr>
          <w:rFonts w:asciiTheme="majorHAnsi" w:hAnsiTheme="majorHAnsi"/>
        </w:rPr>
        <w:t xml:space="preserve"> does</w:t>
      </w:r>
      <w:proofErr w:type="gramEnd"/>
      <w:r w:rsidRPr="007C4B78">
        <w:rPr>
          <w:rFonts w:asciiTheme="majorHAnsi" w:hAnsiTheme="majorHAnsi"/>
        </w:rPr>
        <w:t xml:space="preserve"> not </w:t>
      </w:r>
      <w:r w:rsidR="005D2DEE" w:rsidRPr="007C4B78">
        <w:rPr>
          <w:rFonts w:asciiTheme="majorHAnsi" w:hAnsiTheme="majorHAnsi"/>
        </w:rPr>
        <w:t>examine the issue</w:t>
      </w:r>
      <w:r w:rsidR="004D12C3" w:rsidRPr="007C4B78">
        <w:rPr>
          <w:rFonts w:asciiTheme="majorHAnsi" w:hAnsiTheme="majorHAnsi"/>
        </w:rPr>
        <w:t xml:space="preserve"> of</w:t>
      </w:r>
      <w:r w:rsidRPr="007C4B78">
        <w:rPr>
          <w:rFonts w:asciiTheme="majorHAnsi" w:hAnsiTheme="majorHAnsi"/>
        </w:rPr>
        <w:t xml:space="preserve"> children in care with cognitive disabilities and the education</w:t>
      </w:r>
      <w:r w:rsidR="004D12C3" w:rsidRPr="007C4B78">
        <w:rPr>
          <w:rFonts w:asciiTheme="majorHAnsi" w:hAnsiTheme="majorHAnsi"/>
        </w:rPr>
        <w:t>al</w:t>
      </w:r>
      <w:r w:rsidRPr="007C4B78">
        <w:rPr>
          <w:rFonts w:asciiTheme="majorHAnsi" w:hAnsiTheme="majorHAnsi"/>
        </w:rPr>
        <w:t xml:space="preserve"> barriers and challenges they may face. </w:t>
      </w:r>
    </w:p>
    <w:p w14:paraId="30ADC15C" w14:textId="77777777" w:rsidR="006B0B5F" w:rsidRPr="007C4B78" w:rsidRDefault="006B0B5F" w:rsidP="004D12C3">
      <w:pPr>
        <w:jc w:val="both"/>
        <w:rPr>
          <w:rFonts w:asciiTheme="majorHAnsi" w:eastAsia="Arial" w:hAnsiTheme="majorHAnsi" w:cs="Arial"/>
        </w:rPr>
      </w:pPr>
    </w:p>
    <w:p w14:paraId="14DFBA58" w14:textId="77777777" w:rsidR="006B0B5F" w:rsidRPr="007C4B78" w:rsidRDefault="000534B4" w:rsidP="004D12C3">
      <w:pPr>
        <w:tabs>
          <w:tab w:val="left" w:pos="2193"/>
        </w:tabs>
        <w:jc w:val="both"/>
        <w:rPr>
          <w:rFonts w:asciiTheme="majorHAnsi" w:eastAsia="Arial" w:hAnsiTheme="majorHAnsi" w:cs="Arial"/>
        </w:rPr>
      </w:pPr>
      <w:r w:rsidRPr="007C4B78">
        <w:rPr>
          <w:rFonts w:asciiTheme="majorHAnsi" w:eastAsia="Arial" w:hAnsiTheme="majorHAnsi" w:cs="Arial"/>
        </w:rPr>
        <w:lastRenderedPageBreak/>
        <w:t>The interim report of the Child Care Law Reporting Project</w:t>
      </w:r>
      <w:r w:rsidR="006B0B5F" w:rsidRPr="007C4B78">
        <w:rPr>
          <w:rFonts w:asciiTheme="majorHAnsi" w:eastAsia="Arial" w:hAnsiTheme="majorHAnsi" w:cs="Arial"/>
        </w:rPr>
        <w:t xml:space="preserve"> analyses collected data and makes recommendations on the improvement of the </w:t>
      </w:r>
      <w:proofErr w:type="gramStart"/>
      <w:r w:rsidR="006B0B5F" w:rsidRPr="007C4B78">
        <w:rPr>
          <w:rFonts w:asciiTheme="majorHAnsi" w:eastAsia="Arial" w:hAnsiTheme="majorHAnsi" w:cs="Arial"/>
        </w:rPr>
        <w:t>child care</w:t>
      </w:r>
      <w:proofErr w:type="gramEnd"/>
      <w:r w:rsidR="006B0B5F" w:rsidRPr="007C4B78">
        <w:rPr>
          <w:rFonts w:asciiTheme="majorHAnsi" w:eastAsia="Arial" w:hAnsiTheme="majorHAnsi" w:cs="Arial"/>
        </w:rPr>
        <w:t xml:space="preserve"> proceedings.</w:t>
      </w:r>
      <w:r w:rsidR="006B0B5F" w:rsidRPr="007C4B78">
        <w:rPr>
          <w:rStyle w:val="FootnoteReference"/>
          <w:rFonts w:asciiTheme="majorHAnsi" w:eastAsia="Arial" w:hAnsiTheme="majorHAnsi" w:cs="Arial"/>
        </w:rPr>
        <w:footnoteReference w:id="93"/>
      </w:r>
      <w:r w:rsidR="004A4ABA" w:rsidRPr="007C4B78">
        <w:rPr>
          <w:rFonts w:asciiTheme="majorHAnsi" w:eastAsia="Arial" w:hAnsiTheme="majorHAnsi" w:cs="Arial"/>
        </w:rPr>
        <w:t>This report highlights</w:t>
      </w:r>
      <w:r w:rsidR="006B0B5F" w:rsidRPr="007C4B78">
        <w:rPr>
          <w:rFonts w:asciiTheme="majorHAnsi" w:eastAsia="Arial" w:hAnsiTheme="majorHAnsi" w:cs="Arial"/>
        </w:rPr>
        <w:t xml:space="preserve"> that </w:t>
      </w:r>
      <w:r w:rsidR="004A4ABA" w:rsidRPr="007C4B78">
        <w:rPr>
          <w:rFonts w:asciiTheme="majorHAnsi" w:eastAsia="Arial" w:hAnsiTheme="majorHAnsi" w:cs="Arial"/>
        </w:rPr>
        <w:t xml:space="preserve">an </w:t>
      </w:r>
      <w:r w:rsidR="006B0B5F" w:rsidRPr="007C4B78">
        <w:rPr>
          <w:rFonts w:asciiTheme="majorHAnsi" w:eastAsia="Arial" w:hAnsiTheme="majorHAnsi" w:cs="Arial"/>
        </w:rPr>
        <w:t>order for care was refused in only 4 of the 333 cases surveyed in the study</w:t>
      </w:r>
      <w:r w:rsidR="004A4ABA" w:rsidRPr="007C4B78">
        <w:rPr>
          <w:rFonts w:asciiTheme="majorHAnsi" w:eastAsia="Arial" w:hAnsiTheme="majorHAnsi" w:cs="Arial"/>
        </w:rPr>
        <w:t xml:space="preserve"> – demonstrating that the courts overwhelmingly tend to approve requests to place children in care; although the level of children’s participation in these decisions seems to vary considerably, and the extent to which courts attempt to ascertain the views of children with cognitive disabilities in these processes is unknown</w:t>
      </w:r>
      <w:r w:rsidR="006B0B5F" w:rsidRPr="007C4B78">
        <w:rPr>
          <w:rFonts w:asciiTheme="majorHAnsi" w:eastAsia="Arial" w:hAnsiTheme="majorHAnsi" w:cs="Arial"/>
        </w:rPr>
        <w:t>.</w:t>
      </w:r>
      <w:r w:rsidR="006B0B5F" w:rsidRPr="007C4B78">
        <w:rPr>
          <w:rStyle w:val="FootnoteReference"/>
          <w:rFonts w:asciiTheme="majorHAnsi" w:eastAsia="Arial" w:hAnsiTheme="majorHAnsi" w:cs="Arial"/>
        </w:rPr>
        <w:footnoteReference w:id="94"/>
      </w:r>
    </w:p>
    <w:p w14:paraId="65FC863A" w14:textId="77777777" w:rsidR="006B0B5F" w:rsidRPr="007C4B78" w:rsidRDefault="006B0B5F" w:rsidP="004D12C3">
      <w:pPr>
        <w:pStyle w:val="task"/>
        <w:tabs>
          <w:tab w:val="clear" w:pos="680"/>
          <w:tab w:val="left" w:pos="0"/>
        </w:tabs>
        <w:ind w:left="0" w:firstLine="0"/>
        <w:jc w:val="both"/>
        <w:rPr>
          <w:rFonts w:asciiTheme="majorHAnsi" w:hAnsiTheme="majorHAnsi"/>
        </w:rPr>
      </w:pPr>
    </w:p>
    <w:p w14:paraId="23B64B1E" w14:textId="77777777" w:rsidR="007C08D0" w:rsidRPr="007C4B78" w:rsidRDefault="002A1CCC" w:rsidP="004D12C3">
      <w:pPr>
        <w:pStyle w:val="Heading2"/>
        <w:jc w:val="both"/>
        <w:rPr>
          <w:rFonts w:asciiTheme="majorHAnsi" w:hAnsiTheme="majorHAnsi"/>
        </w:rPr>
      </w:pPr>
      <w:bookmarkStart w:id="27" w:name="_Toc417303153"/>
      <w:r w:rsidRPr="007C4B78">
        <w:rPr>
          <w:rFonts w:asciiTheme="majorHAnsi" w:hAnsiTheme="majorHAnsi"/>
        </w:rPr>
        <w:t>Relevant l</w:t>
      </w:r>
      <w:r w:rsidR="006235AF" w:rsidRPr="007C4B78">
        <w:rPr>
          <w:rFonts w:asciiTheme="majorHAnsi" w:hAnsiTheme="majorHAnsi"/>
        </w:rPr>
        <w:t>aws</w:t>
      </w:r>
      <w:r w:rsidRPr="007C4B78">
        <w:rPr>
          <w:rFonts w:asciiTheme="majorHAnsi" w:hAnsiTheme="majorHAnsi"/>
        </w:rPr>
        <w:t xml:space="preserve"> and policies</w:t>
      </w:r>
      <w:bookmarkEnd w:id="27"/>
    </w:p>
    <w:p w14:paraId="236C94E4" w14:textId="77777777" w:rsidR="007C08D0" w:rsidRPr="007C4B78" w:rsidRDefault="007C08D0" w:rsidP="004D12C3">
      <w:pPr>
        <w:pStyle w:val="Heading3"/>
        <w:jc w:val="both"/>
      </w:pPr>
      <w:bookmarkStart w:id="28" w:name="_Toc417303154"/>
      <w:r w:rsidRPr="007C4B78">
        <w:t>Care Proceedings</w:t>
      </w:r>
      <w:bookmarkEnd w:id="28"/>
    </w:p>
    <w:p w14:paraId="1798C440" w14:textId="77777777" w:rsidR="00BB1B6C" w:rsidRPr="007C4B78" w:rsidRDefault="007C08D0" w:rsidP="004D12C3">
      <w:pPr>
        <w:jc w:val="both"/>
        <w:rPr>
          <w:rFonts w:asciiTheme="majorHAnsi" w:eastAsia="Calibri" w:hAnsiTheme="majorHAnsi"/>
        </w:rPr>
      </w:pPr>
      <w:r w:rsidRPr="007C4B78">
        <w:rPr>
          <w:rFonts w:asciiTheme="majorHAnsi" w:eastAsia="Calibri" w:hAnsiTheme="majorHAnsi"/>
        </w:rPr>
        <w:t>There are several types of care procedures</w:t>
      </w:r>
      <w:r w:rsidR="000E32B2" w:rsidRPr="007C4B78">
        <w:rPr>
          <w:rFonts w:asciiTheme="majorHAnsi" w:eastAsia="Calibri" w:hAnsiTheme="majorHAnsi"/>
        </w:rPr>
        <w:t xml:space="preserve"> under the Child Care Act</w:t>
      </w:r>
      <w:r w:rsidRPr="007C4B78">
        <w:rPr>
          <w:rFonts w:asciiTheme="majorHAnsi" w:eastAsia="Calibri" w:hAnsiTheme="majorHAnsi"/>
        </w:rPr>
        <w:t xml:space="preserve"> that may be used to remove a child from their current living situation</w:t>
      </w:r>
      <w:r w:rsidR="000E32B2" w:rsidRPr="007C4B78">
        <w:rPr>
          <w:rFonts w:asciiTheme="majorHAnsi" w:eastAsia="Calibri" w:hAnsiTheme="majorHAnsi"/>
        </w:rPr>
        <w:t xml:space="preserve"> in Ireland</w:t>
      </w:r>
      <w:r w:rsidRPr="007C4B78">
        <w:rPr>
          <w:rFonts w:asciiTheme="majorHAnsi" w:eastAsia="Calibri" w:hAnsiTheme="majorHAnsi"/>
        </w:rPr>
        <w:t>: emergency removal by a member of the Garda, emergency care orders, care orders and special care orders. The overarching guidelines</w:t>
      </w:r>
      <w:r w:rsidR="00724114" w:rsidRPr="007C4B78">
        <w:rPr>
          <w:rFonts w:asciiTheme="majorHAnsi" w:eastAsia="Calibri" w:hAnsiTheme="majorHAnsi"/>
        </w:rPr>
        <w:t xml:space="preserve"> for these proceedings</w:t>
      </w:r>
      <w:r w:rsidRPr="007C4B78">
        <w:rPr>
          <w:rFonts w:asciiTheme="majorHAnsi" w:eastAsia="Calibri" w:hAnsiTheme="majorHAnsi"/>
        </w:rPr>
        <w:t xml:space="preserve"> can be found in the </w:t>
      </w:r>
      <w:r w:rsidR="00346914" w:rsidRPr="007C4B78">
        <w:rPr>
          <w:rFonts w:asciiTheme="majorHAnsi" w:eastAsia="Calibri" w:hAnsiTheme="majorHAnsi"/>
        </w:rPr>
        <w:t>Child Care Act 1991</w:t>
      </w:r>
      <w:r w:rsidR="00915514" w:rsidRPr="007C4B78">
        <w:rPr>
          <w:rFonts w:asciiTheme="majorHAnsi" w:eastAsia="Calibri" w:hAnsiTheme="majorHAnsi"/>
        </w:rPr>
        <w:t xml:space="preserve"> and the Child </w:t>
      </w:r>
      <w:proofErr w:type="gramStart"/>
      <w:r w:rsidR="00915514" w:rsidRPr="007C4B78">
        <w:rPr>
          <w:rFonts w:asciiTheme="majorHAnsi" w:eastAsia="Calibri" w:hAnsiTheme="majorHAnsi"/>
        </w:rPr>
        <w:t xml:space="preserve">Care </w:t>
      </w:r>
      <w:r w:rsidRPr="007C4B78">
        <w:rPr>
          <w:rFonts w:asciiTheme="majorHAnsi" w:eastAsia="Calibri" w:hAnsiTheme="majorHAnsi"/>
        </w:rPr>
        <w:t>.</w:t>
      </w:r>
      <w:proofErr w:type="gramEnd"/>
      <w:r w:rsidRPr="007C4B78">
        <w:rPr>
          <w:rStyle w:val="FootnoteReference"/>
          <w:rFonts w:asciiTheme="majorHAnsi" w:eastAsia="Calibri" w:hAnsiTheme="majorHAnsi"/>
        </w:rPr>
        <w:footnoteReference w:id="95"/>
      </w:r>
      <w:r w:rsidR="000E32B2" w:rsidRPr="007C4B78">
        <w:rPr>
          <w:rFonts w:asciiTheme="majorHAnsi" w:eastAsia="Calibri" w:hAnsiTheme="majorHAnsi"/>
        </w:rPr>
        <w:t>The following section of this report summarises the procedures for placing a child in care in Ireland in order to explore how these proceedings might apply to children with cognitive disabilities.</w:t>
      </w:r>
    </w:p>
    <w:p w14:paraId="5AAD816C" w14:textId="77777777" w:rsidR="007C08D0" w:rsidRPr="007C4B78" w:rsidRDefault="007C08D0" w:rsidP="004D12C3">
      <w:pPr>
        <w:pStyle w:val="Heading4"/>
        <w:jc w:val="both"/>
      </w:pPr>
      <w:r w:rsidRPr="007C4B78">
        <w:t>Voluntary Care</w:t>
      </w:r>
    </w:p>
    <w:p w14:paraId="4D4AF296" w14:textId="77777777" w:rsidR="00161059" w:rsidRPr="007C4B78" w:rsidRDefault="007C08D0" w:rsidP="004D12C3">
      <w:pPr>
        <w:jc w:val="both"/>
        <w:rPr>
          <w:rFonts w:asciiTheme="majorHAnsi" w:eastAsia="Calibri" w:hAnsiTheme="majorHAnsi"/>
        </w:rPr>
      </w:pPr>
      <w:r w:rsidRPr="007C4B78">
        <w:rPr>
          <w:rFonts w:asciiTheme="majorHAnsi" w:eastAsia="Calibri" w:hAnsiTheme="majorHAnsi"/>
        </w:rPr>
        <w:t xml:space="preserve">A child may also be taken into </w:t>
      </w:r>
      <w:r w:rsidR="00724114" w:rsidRPr="007C4B78">
        <w:rPr>
          <w:rFonts w:asciiTheme="majorHAnsi" w:eastAsia="Calibri" w:hAnsiTheme="majorHAnsi"/>
        </w:rPr>
        <w:t xml:space="preserve">voluntary </w:t>
      </w:r>
      <w:r w:rsidRPr="007C4B78">
        <w:rPr>
          <w:rFonts w:asciiTheme="majorHAnsi" w:eastAsia="Calibri" w:hAnsiTheme="majorHAnsi"/>
        </w:rPr>
        <w:t>care with the consent of the parents where the child requires a level of protection o</w:t>
      </w:r>
      <w:r w:rsidR="00724114" w:rsidRPr="007C4B78">
        <w:rPr>
          <w:rFonts w:asciiTheme="majorHAnsi" w:eastAsia="Calibri" w:hAnsiTheme="majorHAnsi"/>
        </w:rPr>
        <w:t xml:space="preserve">r </w:t>
      </w:r>
      <w:r w:rsidRPr="007C4B78">
        <w:rPr>
          <w:rFonts w:asciiTheme="majorHAnsi" w:eastAsia="Calibri" w:hAnsiTheme="majorHAnsi"/>
        </w:rPr>
        <w:t>care that the child would be unable to receive unless in care.</w:t>
      </w:r>
      <w:r w:rsidRPr="007C4B78">
        <w:rPr>
          <w:rStyle w:val="FootnoteReference"/>
          <w:rFonts w:asciiTheme="majorHAnsi" w:eastAsia="Calibri" w:hAnsiTheme="majorHAnsi"/>
        </w:rPr>
        <w:footnoteReference w:id="96"/>
      </w:r>
      <w:r w:rsidRPr="007C4B78">
        <w:rPr>
          <w:rFonts w:asciiTheme="majorHAnsi" w:eastAsia="Calibri" w:hAnsiTheme="majorHAnsi"/>
        </w:rPr>
        <w:t xml:space="preserve">  This </w:t>
      </w:r>
      <w:r w:rsidR="00724114" w:rsidRPr="007C4B78">
        <w:rPr>
          <w:rFonts w:asciiTheme="majorHAnsi" w:eastAsia="Calibri" w:hAnsiTheme="majorHAnsi"/>
        </w:rPr>
        <w:t>proceeding is conducted unilaterally between the parents and the HSE</w:t>
      </w:r>
      <w:r w:rsidRPr="007C4B78">
        <w:rPr>
          <w:rFonts w:asciiTheme="majorHAnsi" w:eastAsia="Calibri" w:hAnsiTheme="majorHAnsi"/>
        </w:rPr>
        <w:t xml:space="preserve"> and does not involve the court and th</w:t>
      </w:r>
      <w:r w:rsidR="0000649C" w:rsidRPr="007C4B78">
        <w:rPr>
          <w:rFonts w:asciiTheme="majorHAnsi" w:eastAsia="Calibri" w:hAnsiTheme="majorHAnsi"/>
        </w:rPr>
        <w:t>us there is no appointment of a</w:t>
      </w:r>
      <w:r w:rsidRPr="007C4B78">
        <w:rPr>
          <w:rFonts w:asciiTheme="majorHAnsi" w:eastAsia="Calibri" w:hAnsiTheme="majorHAnsi"/>
        </w:rPr>
        <w:t xml:space="preserve"> </w:t>
      </w:r>
      <w:r w:rsidR="00346914" w:rsidRPr="007C4B78">
        <w:rPr>
          <w:rFonts w:asciiTheme="majorHAnsi" w:eastAsia="Calibri" w:hAnsiTheme="majorHAnsi"/>
        </w:rPr>
        <w:t xml:space="preserve">solicitor </w:t>
      </w:r>
      <w:r w:rsidRPr="007C4B78">
        <w:rPr>
          <w:rFonts w:asciiTheme="majorHAnsi" w:eastAsia="Calibri" w:hAnsiTheme="majorHAnsi"/>
        </w:rPr>
        <w:t xml:space="preserve">for the parents or involvement of a Guardian ad Litem. Since this procedure does not involve the court, the child is not entitled to be heard by a court, or to have a Guardian ad Litem appointed to </w:t>
      </w:r>
      <w:r w:rsidR="000E32B2" w:rsidRPr="007C4B78">
        <w:rPr>
          <w:rFonts w:asciiTheme="majorHAnsi" w:eastAsia="Calibri" w:hAnsiTheme="majorHAnsi"/>
        </w:rPr>
        <w:t>ascertain his or her views</w:t>
      </w:r>
      <w:r w:rsidRPr="007C4B78">
        <w:rPr>
          <w:rFonts w:asciiTheme="majorHAnsi" w:eastAsia="Calibri" w:hAnsiTheme="majorHAnsi"/>
        </w:rPr>
        <w:t>. Also, since it does not take place in court</w:t>
      </w:r>
      <w:r w:rsidR="000E32B2" w:rsidRPr="007C4B78">
        <w:rPr>
          <w:rFonts w:asciiTheme="majorHAnsi" w:eastAsia="Calibri" w:hAnsiTheme="majorHAnsi"/>
        </w:rPr>
        <w:t>,</w:t>
      </w:r>
      <w:r w:rsidRPr="007C4B78">
        <w:rPr>
          <w:rFonts w:asciiTheme="majorHAnsi" w:eastAsia="Calibri" w:hAnsiTheme="majorHAnsi"/>
        </w:rPr>
        <w:t xml:space="preserve"> these placements are not a matter of public record and thus</w:t>
      </w:r>
      <w:r w:rsidR="000E32B2" w:rsidRPr="007C4B78">
        <w:rPr>
          <w:rFonts w:asciiTheme="majorHAnsi" w:eastAsia="Calibri" w:hAnsiTheme="majorHAnsi"/>
        </w:rPr>
        <w:t xml:space="preserve"> are</w:t>
      </w:r>
      <w:r w:rsidRPr="007C4B78">
        <w:rPr>
          <w:rFonts w:asciiTheme="majorHAnsi" w:eastAsia="Calibri" w:hAnsiTheme="majorHAnsi"/>
        </w:rPr>
        <w:t xml:space="preserve"> difficult to research. </w:t>
      </w:r>
    </w:p>
    <w:p w14:paraId="4F4942FA" w14:textId="77777777" w:rsidR="00161059" w:rsidRPr="007C4B78" w:rsidRDefault="00161059" w:rsidP="004D12C3">
      <w:pPr>
        <w:pStyle w:val="Heading4"/>
        <w:jc w:val="both"/>
      </w:pPr>
      <w:r w:rsidRPr="007C4B78">
        <w:t>Removal by the Garda</w:t>
      </w:r>
    </w:p>
    <w:p w14:paraId="489B4C88" w14:textId="77777777" w:rsidR="00161059" w:rsidRPr="007C4B78" w:rsidRDefault="00161059" w:rsidP="004D12C3">
      <w:pPr>
        <w:jc w:val="both"/>
        <w:rPr>
          <w:rFonts w:asciiTheme="majorHAnsi" w:eastAsia="Calibri" w:hAnsiTheme="majorHAnsi"/>
        </w:rPr>
      </w:pPr>
      <w:r w:rsidRPr="007C4B78">
        <w:rPr>
          <w:rFonts w:asciiTheme="majorHAnsi" w:eastAsia="Calibri" w:hAnsiTheme="majorHAnsi"/>
        </w:rPr>
        <w:t>A member of the Garda may remove a child without a warrant or application for an emergency care order where there is 1) “an immediate and serious risk to the health or welfare of a child” and 2) protection of the child cannot be sufficiently accomplished by waiting to make an application for an emergency care order.</w:t>
      </w:r>
      <w:r w:rsidRPr="007C4B78">
        <w:rPr>
          <w:rStyle w:val="FootnoteReference"/>
          <w:rFonts w:asciiTheme="majorHAnsi" w:eastAsia="Calibri" w:hAnsiTheme="majorHAnsi"/>
        </w:rPr>
        <w:footnoteReference w:id="97"/>
      </w:r>
      <w:r w:rsidRPr="007C4B78">
        <w:rPr>
          <w:rFonts w:asciiTheme="majorHAnsi" w:eastAsia="Calibri" w:hAnsiTheme="majorHAnsi"/>
        </w:rPr>
        <w:t xml:space="preserve">  This is a last resort measure that can only be used in cases of life or death.</w:t>
      </w:r>
      <w:r w:rsidRPr="007C4B78">
        <w:rPr>
          <w:rStyle w:val="FootnoteReference"/>
          <w:rFonts w:asciiTheme="majorHAnsi" w:eastAsia="Calibri" w:hAnsiTheme="majorHAnsi"/>
        </w:rPr>
        <w:footnoteReference w:id="98"/>
      </w:r>
      <w:r w:rsidRPr="007C4B78">
        <w:rPr>
          <w:rFonts w:asciiTheme="majorHAnsi" w:eastAsia="Calibri" w:hAnsiTheme="majorHAnsi"/>
        </w:rPr>
        <w:t xml:space="preserve">There is nothing in this provision itself that provides for or ensures that the child is heard in this proceeding. </w:t>
      </w:r>
    </w:p>
    <w:p w14:paraId="08D3E3D6" w14:textId="77777777" w:rsidR="00161059" w:rsidRPr="007C4B78" w:rsidRDefault="00161059" w:rsidP="004D12C3">
      <w:pPr>
        <w:pStyle w:val="Heading4"/>
        <w:jc w:val="both"/>
      </w:pPr>
      <w:r w:rsidRPr="007C4B78">
        <w:lastRenderedPageBreak/>
        <w:t>Emergency Care Orders</w:t>
      </w:r>
    </w:p>
    <w:p w14:paraId="43D847D5" w14:textId="77777777" w:rsidR="00161059" w:rsidRPr="007C4B78" w:rsidRDefault="00161059" w:rsidP="004D12C3">
      <w:pPr>
        <w:jc w:val="both"/>
        <w:rPr>
          <w:rFonts w:asciiTheme="majorHAnsi" w:eastAsia="Calibri" w:hAnsiTheme="majorHAnsi"/>
        </w:rPr>
      </w:pPr>
      <w:r w:rsidRPr="007C4B78">
        <w:rPr>
          <w:rFonts w:asciiTheme="majorHAnsi" w:eastAsia="Calibri" w:hAnsiTheme="majorHAnsi"/>
        </w:rPr>
        <w:t>Emergency care orders are made through an application to the District Court.</w:t>
      </w:r>
      <w:r w:rsidRPr="007C4B78">
        <w:rPr>
          <w:rStyle w:val="FootnoteReference"/>
          <w:rFonts w:asciiTheme="majorHAnsi" w:eastAsia="Calibri" w:hAnsiTheme="majorHAnsi"/>
        </w:rPr>
        <w:footnoteReference w:id="99"/>
      </w:r>
      <w:r w:rsidRPr="007C4B78">
        <w:rPr>
          <w:rFonts w:asciiTheme="majorHAnsi" w:eastAsia="Calibri" w:hAnsiTheme="majorHAnsi"/>
        </w:rPr>
        <w:t xml:space="preserve"> If the emergency care order is granted the child</w:t>
      </w:r>
      <w:r w:rsidR="0000649C" w:rsidRPr="007C4B78">
        <w:rPr>
          <w:rFonts w:asciiTheme="majorHAnsi" w:eastAsia="Calibri" w:hAnsiTheme="majorHAnsi"/>
        </w:rPr>
        <w:t xml:space="preserve"> is placed under the care of</w:t>
      </w:r>
      <w:r w:rsidRPr="007C4B78">
        <w:rPr>
          <w:rFonts w:asciiTheme="majorHAnsi" w:eastAsia="Calibri" w:hAnsiTheme="majorHAnsi"/>
        </w:rPr>
        <w:t xml:space="preserve"> </w:t>
      </w:r>
      <w:r w:rsidR="00346914" w:rsidRPr="007C4B78">
        <w:rPr>
          <w:rFonts w:asciiTheme="majorHAnsi" w:eastAsia="Calibri" w:hAnsiTheme="majorHAnsi"/>
        </w:rPr>
        <w:t>Tusla</w:t>
      </w:r>
      <w:r w:rsidRPr="007C4B78">
        <w:rPr>
          <w:rFonts w:asciiTheme="majorHAnsi" w:eastAsia="Calibri" w:hAnsiTheme="majorHAnsi"/>
        </w:rPr>
        <w:t>.</w:t>
      </w:r>
      <w:r w:rsidRPr="007C4B78">
        <w:rPr>
          <w:rStyle w:val="FootnoteReference"/>
          <w:rFonts w:asciiTheme="majorHAnsi" w:eastAsia="Calibri" w:hAnsiTheme="majorHAnsi"/>
        </w:rPr>
        <w:footnoteReference w:id="100"/>
      </w:r>
      <w:r w:rsidRPr="007C4B78">
        <w:rPr>
          <w:rFonts w:asciiTheme="majorHAnsi" w:eastAsia="Calibri" w:hAnsiTheme="majorHAnsi"/>
        </w:rPr>
        <w:t xml:space="preserve">  To grant an emergency care order the court must be of the opinion that 1) “there is a serious risk to the health or welfare of the child” </w:t>
      </w:r>
      <w:r w:rsidRPr="007C4B78">
        <w:rPr>
          <w:rFonts w:asciiTheme="majorHAnsi" w:eastAsia="Calibri" w:hAnsiTheme="majorHAnsi"/>
          <w:u w:val="single"/>
        </w:rPr>
        <w:t>or</w:t>
      </w:r>
      <w:r w:rsidRPr="007C4B78">
        <w:rPr>
          <w:rFonts w:asciiTheme="majorHAnsi" w:eastAsia="Calibri" w:hAnsiTheme="majorHAnsi"/>
        </w:rPr>
        <w:t xml:space="preserve"> 2) there is likely to be such a risk if child is not removed.</w:t>
      </w:r>
      <w:r w:rsidRPr="007C4B78">
        <w:rPr>
          <w:rStyle w:val="FootnoteReference"/>
          <w:rFonts w:asciiTheme="majorHAnsi" w:eastAsia="Calibri" w:hAnsiTheme="majorHAnsi"/>
        </w:rPr>
        <w:footnoteReference w:id="101"/>
      </w:r>
      <w:r w:rsidRPr="007C4B78">
        <w:rPr>
          <w:rFonts w:asciiTheme="majorHAnsi" w:eastAsia="Calibri" w:hAnsiTheme="majorHAnsi"/>
        </w:rPr>
        <w:t xml:space="preserve">  Under an emergency care order the</w:t>
      </w:r>
      <w:r w:rsidR="00D53962" w:rsidRPr="007C4B78">
        <w:rPr>
          <w:rFonts w:asciiTheme="majorHAnsi" w:eastAsia="Calibri" w:hAnsiTheme="majorHAnsi"/>
        </w:rPr>
        <w:t xml:space="preserve"> </w:t>
      </w:r>
      <w:r w:rsidR="00346914" w:rsidRPr="007C4B78">
        <w:rPr>
          <w:rFonts w:asciiTheme="majorHAnsi" w:eastAsia="Calibri" w:hAnsiTheme="majorHAnsi"/>
        </w:rPr>
        <w:t>court</w:t>
      </w:r>
      <w:r w:rsidRPr="007C4B78">
        <w:rPr>
          <w:rFonts w:asciiTheme="majorHAnsi" w:eastAsia="Calibri" w:hAnsiTheme="majorHAnsi"/>
        </w:rPr>
        <w:t xml:space="preserve"> may require a medical or psychiatric examination, treatment or assessment of the child.</w:t>
      </w:r>
      <w:r w:rsidRPr="007C4B78">
        <w:rPr>
          <w:rStyle w:val="FootnoteReference"/>
          <w:rFonts w:asciiTheme="majorHAnsi" w:eastAsia="Calibri" w:hAnsiTheme="majorHAnsi"/>
        </w:rPr>
        <w:footnoteReference w:id="102"/>
      </w:r>
      <w:r w:rsidRPr="007C4B78">
        <w:rPr>
          <w:rFonts w:asciiTheme="majorHAnsi" w:eastAsia="Calibri" w:hAnsiTheme="majorHAnsi"/>
        </w:rPr>
        <w:t xml:space="preserve">  Similar to removal by the Garda</w:t>
      </w:r>
      <w:r w:rsidR="000E32B2" w:rsidRPr="007C4B78">
        <w:rPr>
          <w:rFonts w:asciiTheme="majorHAnsi" w:eastAsia="Calibri" w:hAnsiTheme="majorHAnsi"/>
        </w:rPr>
        <w:t>í</w:t>
      </w:r>
      <w:r w:rsidRPr="007C4B78">
        <w:rPr>
          <w:rFonts w:asciiTheme="majorHAnsi" w:eastAsia="Calibri" w:hAnsiTheme="majorHAnsi"/>
        </w:rPr>
        <w:t>, removal under an emergency care order is likely to occur only under exceptional circumstances “where the parents for physical or moral reasons fail in their duty to the child.”</w:t>
      </w:r>
      <w:r w:rsidRPr="007C4B78">
        <w:rPr>
          <w:rStyle w:val="FootnoteReference"/>
          <w:rFonts w:asciiTheme="majorHAnsi" w:eastAsia="Calibri" w:hAnsiTheme="majorHAnsi"/>
        </w:rPr>
        <w:footnoteReference w:id="103"/>
      </w:r>
      <w:r w:rsidRPr="007C4B78">
        <w:rPr>
          <w:rFonts w:asciiTheme="majorHAnsi" w:eastAsia="Calibri" w:hAnsiTheme="majorHAnsi"/>
        </w:rPr>
        <w:t xml:space="preserve">  This proceeding is used usually in situations of child abuse.</w:t>
      </w:r>
      <w:r w:rsidRPr="007C4B78">
        <w:rPr>
          <w:rStyle w:val="FootnoteReference"/>
          <w:rFonts w:asciiTheme="majorHAnsi" w:eastAsia="Calibri" w:hAnsiTheme="majorHAnsi"/>
        </w:rPr>
        <w:footnoteReference w:id="104"/>
      </w:r>
    </w:p>
    <w:p w14:paraId="5B488DF8" w14:textId="77777777" w:rsidR="00161059" w:rsidRPr="007C4B78" w:rsidRDefault="00161059" w:rsidP="004D12C3">
      <w:pPr>
        <w:pStyle w:val="Heading4"/>
        <w:jc w:val="both"/>
      </w:pPr>
      <w:r w:rsidRPr="007C4B78">
        <w:t>Care Proceedings</w:t>
      </w:r>
    </w:p>
    <w:p w14:paraId="097B49E6" w14:textId="77777777" w:rsidR="00161059" w:rsidRPr="007C4B78" w:rsidRDefault="00161059" w:rsidP="004D12C3">
      <w:pPr>
        <w:jc w:val="both"/>
        <w:rPr>
          <w:rFonts w:asciiTheme="majorHAnsi" w:eastAsia="Calibri" w:hAnsiTheme="majorHAnsi"/>
        </w:rPr>
      </w:pPr>
      <w:r w:rsidRPr="007C4B78">
        <w:rPr>
          <w:rFonts w:asciiTheme="majorHAnsi" w:eastAsia="Calibri" w:hAnsiTheme="majorHAnsi"/>
        </w:rPr>
        <w:t xml:space="preserve">Care proceedings </w:t>
      </w:r>
      <w:r w:rsidR="000E32B2" w:rsidRPr="007C4B78">
        <w:rPr>
          <w:rFonts w:asciiTheme="majorHAnsi" w:eastAsia="Calibri" w:hAnsiTheme="majorHAnsi"/>
        </w:rPr>
        <w:t>commence</w:t>
      </w:r>
      <w:r w:rsidRPr="007C4B78">
        <w:rPr>
          <w:rFonts w:asciiTheme="majorHAnsi" w:eastAsia="Calibri" w:hAnsiTheme="majorHAnsi"/>
        </w:rPr>
        <w:t xml:space="preserve"> with an application by the HSE to the court and are granted where the court is satisfied that a) “the child has been or is being assaulted, ill-treated, neglected or sexually abused” or b) “the child’s health, development or welfare has been or is being avoidably impaired or neglected” or c) “the child’s health, development or welfare is likely to be avoidably impaired or neglected” </w:t>
      </w:r>
      <w:r w:rsidRPr="007C4B78">
        <w:rPr>
          <w:rFonts w:asciiTheme="majorHAnsi" w:eastAsia="Calibri" w:hAnsiTheme="majorHAnsi"/>
          <w:u w:val="single"/>
        </w:rPr>
        <w:t>and</w:t>
      </w:r>
      <w:r w:rsidRPr="007C4B78">
        <w:rPr>
          <w:rFonts w:asciiTheme="majorHAnsi" w:eastAsia="Calibri" w:hAnsiTheme="majorHAnsi"/>
        </w:rPr>
        <w:t xml:space="preserve"> that without the order protection or care of the child would be unlikely to occur.</w:t>
      </w:r>
      <w:r w:rsidRPr="007C4B78">
        <w:rPr>
          <w:rStyle w:val="FootnoteReference"/>
          <w:rFonts w:asciiTheme="majorHAnsi" w:eastAsia="Calibri" w:hAnsiTheme="majorHAnsi"/>
        </w:rPr>
        <w:footnoteReference w:id="105"/>
      </w:r>
    </w:p>
    <w:p w14:paraId="59CEB81F" w14:textId="77777777" w:rsidR="00161059" w:rsidRPr="007C4B78" w:rsidRDefault="00161059" w:rsidP="004D12C3">
      <w:pPr>
        <w:pStyle w:val="Heading4"/>
        <w:jc w:val="both"/>
      </w:pPr>
      <w:r w:rsidRPr="007C4B78">
        <w:t>Special Care Orders</w:t>
      </w:r>
    </w:p>
    <w:p w14:paraId="6A7A669C" w14:textId="77777777" w:rsidR="00161059" w:rsidRPr="007C4B78" w:rsidRDefault="00161059" w:rsidP="004D12C3">
      <w:pPr>
        <w:jc w:val="both"/>
        <w:rPr>
          <w:rFonts w:asciiTheme="majorHAnsi" w:eastAsia="Calibri" w:hAnsiTheme="majorHAnsi"/>
        </w:rPr>
      </w:pPr>
      <w:r w:rsidRPr="007C4B78">
        <w:rPr>
          <w:rFonts w:asciiTheme="majorHAnsi" w:eastAsia="Calibri" w:hAnsiTheme="majorHAnsi"/>
        </w:rPr>
        <w:t>Special Care Orders can be made by appli</w:t>
      </w:r>
      <w:r w:rsidR="00D53962" w:rsidRPr="007C4B78">
        <w:rPr>
          <w:rFonts w:asciiTheme="majorHAnsi" w:eastAsia="Calibri" w:hAnsiTheme="majorHAnsi"/>
        </w:rPr>
        <w:t>cation by</w:t>
      </w:r>
      <w:r w:rsidRPr="007C4B78">
        <w:rPr>
          <w:rFonts w:asciiTheme="majorHAnsi" w:eastAsia="Calibri" w:hAnsiTheme="majorHAnsi"/>
        </w:rPr>
        <w:t xml:space="preserve"> </w:t>
      </w:r>
      <w:r w:rsidR="00346914" w:rsidRPr="007C4B78">
        <w:rPr>
          <w:rFonts w:asciiTheme="majorHAnsi" w:eastAsia="Calibri" w:hAnsiTheme="majorHAnsi"/>
        </w:rPr>
        <w:t xml:space="preserve">Tusla </w:t>
      </w:r>
      <w:r w:rsidRPr="007C4B78">
        <w:rPr>
          <w:rFonts w:asciiTheme="majorHAnsi" w:eastAsia="Calibri" w:hAnsiTheme="majorHAnsi"/>
        </w:rPr>
        <w:t>to the court.</w:t>
      </w:r>
      <w:r w:rsidR="00273BAC" w:rsidRPr="007C4B78">
        <w:rPr>
          <w:rStyle w:val="FootnoteReference"/>
          <w:rFonts w:asciiTheme="majorHAnsi" w:eastAsia="Calibri" w:hAnsiTheme="majorHAnsi"/>
        </w:rPr>
        <w:footnoteReference w:id="106"/>
      </w:r>
      <w:r w:rsidRPr="007C4B78">
        <w:rPr>
          <w:rFonts w:asciiTheme="majorHAnsi" w:eastAsia="Calibri" w:hAnsiTheme="majorHAnsi"/>
        </w:rPr>
        <w:t xml:space="preserve"> They are granted where the behaviour of the child poses a risk to his or her </w:t>
      </w:r>
      <w:r w:rsidR="00A07253" w:rsidRPr="007C4B78">
        <w:rPr>
          <w:rFonts w:asciiTheme="majorHAnsi" w:eastAsia="Calibri" w:hAnsiTheme="majorHAnsi"/>
        </w:rPr>
        <w:t xml:space="preserve">life, </w:t>
      </w:r>
      <w:r w:rsidRPr="007C4B78">
        <w:rPr>
          <w:rFonts w:asciiTheme="majorHAnsi" w:eastAsia="Calibri" w:hAnsiTheme="majorHAnsi"/>
        </w:rPr>
        <w:t xml:space="preserve">health, safety, development or welfare </w:t>
      </w:r>
      <w:r w:rsidRPr="007C4B78">
        <w:rPr>
          <w:rFonts w:asciiTheme="majorHAnsi" w:eastAsia="Calibri" w:hAnsiTheme="majorHAnsi"/>
          <w:u w:val="single"/>
        </w:rPr>
        <w:t>and</w:t>
      </w:r>
      <w:r w:rsidRPr="007C4B78">
        <w:rPr>
          <w:rFonts w:asciiTheme="majorHAnsi" w:eastAsia="Calibri" w:hAnsiTheme="majorHAnsi"/>
        </w:rPr>
        <w:t xml:space="preserve"> the child is unlikely to receive the special care of protection without such an order.</w:t>
      </w:r>
      <w:r w:rsidRPr="007C4B78">
        <w:rPr>
          <w:rStyle w:val="FootnoteReference"/>
          <w:rFonts w:asciiTheme="majorHAnsi" w:eastAsia="Calibri" w:hAnsiTheme="majorHAnsi"/>
        </w:rPr>
        <w:footnoteReference w:id="107"/>
      </w:r>
      <w:r w:rsidRPr="007C4B78">
        <w:rPr>
          <w:rFonts w:asciiTheme="majorHAnsi" w:eastAsia="Calibri" w:hAnsiTheme="majorHAnsi"/>
        </w:rPr>
        <w:t xml:space="preserve">  Pr</w:t>
      </w:r>
      <w:r w:rsidR="00D53962" w:rsidRPr="007C4B78">
        <w:rPr>
          <w:rFonts w:asciiTheme="majorHAnsi" w:eastAsia="Calibri" w:hAnsiTheme="majorHAnsi"/>
        </w:rPr>
        <w:t>ior to applying to the court</w:t>
      </w:r>
      <w:r w:rsidR="00F64E6D" w:rsidRPr="007C4B78">
        <w:rPr>
          <w:rFonts w:asciiTheme="majorHAnsi" w:eastAsia="Calibri" w:hAnsiTheme="majorHAnsi"/>
        </w:rPr>
        <w:t>,</w:t>
      </w:r>
      <w:r w:rsidR="00D53962" w:rsidRPr="007C4B78">
        <w:rPr>
          <w:rFonts w:asciiTheme="majorHAnsi" w:eastAsia="Calibri" w:hAnsiTheme="majorHAnsi"/>
        </w:rPr>
        <w:t xml:space="preserve"> </w:t>
      </w:r>
      <w:r w:rsidR="00346914" w:rsidRPr="007C4B78">
        <w:rPr>
          <w:rFonts w:asciiTheme="majorHAnsi" w:eastAsia="Calibri" w:hAnsiTheme="majorHAnsi"/>
        </w:rPr>
        <w:t xml:space="preserve">Tusla </w:t>
      </w:r>
      <w:r w:rsidRPr="007C4B78">
        <w:rPr>
          <w:rFonts w:asciiTheme="majorHAnsi" w:eastAsia="Calibri" w:hAnsiTheme="majorHAnsi"/>
        </w:rPr>
        <w:t>must hold a family welfare conference.</w:t>
      </w:r>
      <w:r w:rsidRPr="007C4B78">
        <w:rPr>
          <w:rStyle w:val="FootnoteReference"/>
          <w:rFonts w:asciiTheme="majorHAnsi" w:eastAsia="Calibri" w:hAnsiTheme="majorHAnsi"/>
        </w:rPr>
        <w:footnoteReference w:id="108"/>
      </w:r>
      <w:r w:rsidRPr="007C4B78">
        <w:rPr>
          <w:rFonts w:asciiTheme="majorHAnsi" w:eastAsia="Calibri" w:hAnsiTheme="majorHAnsi"/>
        </w:rPr>
        <w:t xml:space="preserve"> Under a special care order a c</w:t>
      </w:r>
      <w:r w:rsidR="00D53962" w:rsidRPr="007C4B78">
        <w:rPr>
          <w:rFonts w:asciiTheme="majorHAnsi" w:eastAsia="Calibri" w:hAnsiTheme="majorHAnsi"/>
        </w:rPr>
        <w:t xml:space="preserve">hild comes under the care of </w:t>
      </w:r>
      <w:r w:rsidR="00346914" w:rsidRPr="007C4B78">
        <w:rPr>
          <w:rFonts w:asciiTheme="majorHAnsi" w:eastAsia="Calibri" w:hAnsiTheme="majorHAnsi"/>
        </w:rPr>
        <w:t xml:space="preserve">Tusla </w:t>
      </w:r>
      <w:r w:rsidR="00D53962" w:rsidRPr="007C4B78">
        <w:rPr>
          <w:rFonts w:asciiTheme="majorHAnsi" w:eastAsia="Calibri" w:hAnsiTheme="majorHAnsi"/>
        </w:rPr>
        <w:t>and</w:t>
      </w:r>
      <w:r w:rsidRPr="007C4B78">
        <w:rPr>
          <w:rFonts w:asciiTheme="majorHAnsi" w:eastAsia="Calibri" w:hAnsiTheme="majorHAnsi"/>
        </w:rPr>
        <w:t xml:space="preserve"> </w:t>
      </w:r>
      <w:r w:rsidR="00346914" w:rsidRPr="007C4B78">
        <w:rPr>
          <w:rFonts w:asciiTheme="majorHAnsi" w:eastAsia="Calibri" w:hAnsiTheme="majorHAnsi"/>
        </w:rPr>
        <w:t xml:space="preserve">Tusla </w:t>
      </w:r>
      <w:r w:rsidRPr="007C4B78">
        <w:rPr>
          <w:rFonts w:asciiTheme="majorHAnsi" w:eastAsia="Calibri" w:hAnsiTheme="majorHAnsi"/>
        </w:rPr>
        <w:t>is then authorised to detain the child in a special care unit and provide appropriate care, education and treatment for the child.</w:t>
      </w:r>
      <w:r w:rsidRPr="007C4B78">
        <w:rPr>
          <w:rStyle w:val="FootnoteReference"/>
          <w:rFonts w:asciiTheme="majorHAnsi" w:eastAsia="Calibri" w:hAnsiTheme="majorHAnsi"/>
        </w:rPr>
        <w:footnoteReference w:id="109"/>
      </w:r>
      <w:r w:rsidRPr="007C4B78">
        <w:rPr>
          <w:rFonts w:asciiTheme="majorHAnsi" w:eastAsia="Calibri" w:hAnsiTheme="majorHAnsi"/>
        </w:rPr>
        <w:t xml:space="preserve">  A special care order may last no less than three months and no more than six and ceases as soon as the circumstances leading to the special care order cease.</w:t>
      </w:r>
      <w:r w:rsidRPr="007C4B78">
        <w:rPr>
          <w:rStyle w:val="FootnoteReference"/>
          <w:rFonts w:asciiTheme="majorHAnsi" w:eastAsia="Calibri" w:hAnsiTheme="majorHAnsi"/>
        </w:rPr>
        <w:footnoteReference w:id="110"/>
      </w:r>
      <w:r w:rsidR="00DE655D" w:rsidRPr="007C4B78">
        <w:rPr>
          <w:rFonts w:asciiTheme="majorHAnsi" w:eastAsia="Calibri" w:hAnsiTheme="majorHAnsi"/>
        </w:rPr>
        <w:t xml:space="preserve"> Generally a special care order may not exceed three months except where an extension was granted and there is a limit of two extensions.</w:t>
      </w:r>
      <w:r w:rsidR="00DE655D" w:rsidRPr="007C4B78">
        <w:rPr>
          <w:rStyle w:val="FootnoteReference"/>
          <w:rFonts w:asciiTheme="majorHAnsi" w:eastAsia="Calibri" w:hAnsiTheme="majorHAnsi"/>
        </w:rPr>
        <w:footnoteReference w:id="111"/>
      </w:r>
    </w:p>
    <w:p w14:paraId="74BF5758" w14:textId="77777777" w:rsidR="00161059" w:rsidRPr="007C4B78" w:rsidRDefault="00161059" w:rsidP="004D12C3">
      <w:pPr>
        <w:jc w:val="both"/>
        <w:rPr>
          <w:rFonts w:asciiTheme="majorHAnsi" w:eastAsia="Calibri" w:hAnsiTheme="majorHAnsi"/>
        </w:rPr>
      </w:pPr>
    </w:p>
    <w:p w14:paraId="6B86C1A7" w14:textId="77777777" w:rsidR="002140DD" w:rsidRPr="007C4B78" w:rsidRDefault="002140DD" w:rsidP="004D12C3">
      <w:pPr>
        <w:pStyle w:val="Heading4"/>
        <w:jc w:val="both"/>
      </w:pPr>
      <w:r w:rsidRPr="007C4B78">
        <w:lastRenderedPageBreak/>
        <w:t>Care Related Policies</w:t>
      </w:r>
    </w:p>
    <w:p w14:paraId="2BC01915" w14:textId="77777777" w:rsidR="001838ED" w:rsidRPr="007C4B78" w:rsidRDefault="001838ED" w:rsidP="00DA0EDB">
      <w:pPr>
        <w:jc w:val="both"/>
        <w:rPr>
          <w:rFonts w:asciiTheme="majorHAnsi" w:eastAsia="Calibri" w:hAnsiTheme="majorHAnsi"/>
        </w:rPr>
      </w:pPr>
      <w:r w:rsidRPr="007C4B78">
        <w:rPr>
          <w:rFonts w:asciiTheme="majorHAnsi" w:hAnsiTheme="majorHAnsi"/>
        </w:rPr>
        <w:t xml:space="preserve">In any proceeding relating to the placement of </w:t>
      </w:r>
      <w:r w:rsidR="005A164D" w:rsidRPr="007C4B78">
        <w:rPr>
          <w:rFonts w:asciiTheme="majorHAnsi" w:hAnsiTheme="majorHAnsi"/>
        </w:rPr>
        <w:t>a child in residential care,</w:t>
      </w:r>
      <w:r w:rsidRPr="007C4B78">
        <w:rPr>
          <w:rFonts w:asciiTheme="majorHAnsi" w:hAnsiTheme="majorHAnsi"/>
        </w:rPr>
        <w:t xml:space="preserve"> </w:t>
      </w:r>
      <w:r w:rsidR="00346914" w:rsidRPr="007C4B78">
        <w:rPr>
          <w:rFonts w:asciiTheme="majorHAnsi" w:hAnsiTheme="majorHAnsi"/>
        </w:rPr>
        <w:t xml:space="preserve">Tusla </w:t>
      </w:r>
      <w:r w:rsidRPr="007C4B78">
        <w:rPr>
          <w:rFonts w:asciiTheme="majorHAnsi" w:hAnsiTheme="majorHAnsi"/>
        </w:rPr>
        <w:t>must, so far as is practicable, given the age and understanding of the child, give due consideration to the wishes of the child.</w:t>
      </w:r>
      <w:r w:rsidRPr="007C4B78">
        <w:rPr>
          <w:rStyle w:val="FootnoteReference"/>
          <w:rFonts w:asciiTheme="majorHAnsi" w:hAnsiTheme="majorHAnsi"/>
        </w:rPr>
        <w:footnoteReference w:id="112"/>
      </w:r>
      <w:r w:rsidRPr="007C4B78">
        <w:rPr>
          <w:rFonts w:asciiTheme="majorHAnsi" w:hAnsiTheme="majorHAnsi"/>
        </w:rPr>
        <w:t xml:space="preserve"> The Child Care Act of 1991 also specifies that the HSE</w:t>
      </w:r>
      <w:r w:rsidR="005A164D" w:rsidRPr="007C4B78">
        <w:rPr>
          <w:rFonts w:asciiTheme="majorHAnsi" w:hAnsiTheme="majorHAnsi"/>
        </w:rPr>
        <w:t xml:space="preserve"> </w:t>
      </w:r>
      <w:r w:rsidR="00346914" w:rsidRPr="007C4B78">
        <w:rPr>
          <w:rFonts w:asciiTheme="majorHAnsi" w:hAnsiTheme="majorHAnsi"/>
        </w:rPr>
        <w:t>(now</w:t>
      </w:r>
      <w:r w:rsidR="005A164D" w:rsidRPr="007C4B78">
        <w:rPr>
          <w:rFonts w:asciiTheme="majorHAnsi" w:hAnsiTheme="majorHAnsi"/>
        </w:rPr>
        <w:t xml:space="preserve"> </w:t>
      </w:r>
      <w:r w:rsidR="00346914" w:rsidRPr="007C4B78">
        <w:rPr>
          <w:rFonts w:asciiTheme="majorHAnsi" w:hAnsiTheme="majorHAnsi"/>
        </w:rPr>
        <w:t>Tusla)</w:t>
      </w:r>
      <w:r w:rsidRPr="007C4B78">
        <w:rPr>
          <w:rFonts w:asciiTheme="majorHAnsi" w:hAnsiTheme="majorHAnsi"/>
        </w:rPr>
        <w:t xml:space="preserve"> must take into account the wishes of children in care proceedings “having regard to the child’s age and understanding.”</w:t>
      </w:r>
      <w:r w:rsidRPr="007C4B78">
        <w:rPr>
          <w:rStyle w:val="FootnoteReference"/>
          <w:rFonts w:asciiTheme="majorHAnsi" w:hAnsiTheme="majorHAnsi"/>
        </w:rPr>
        <w:footnoteReference w:id="113"/>
      </w:r>
      <w:r w:rsidR="000E32B2" w:rsidRPr="007C4B78">
        <w:rPr>
          <w:rFonts w:asciiTheme="majorHAnsi" w:eastAsia="Calibri" w:hAnsiTheme="majorHAnsi"/>
        </w:rPr>
        <w:t>In addition, standards established by the Health Information and Quality Authority (HIQA) for children in residential centres require that “young people are cared for in a manner that respects and takes account of their wishes, preferences and individuality.”</w:t>
      </w:r>
      <w:r w:rsidR="000E32B2" w:rsidRPr="007C4B78">
        <w:rPr>
          <w:rStyle w:val="FootnoteReference"/>
          <w:rFonts w:asciiTheme="majorHAnsi" w:eastAsia="Calibri" w:hAnsiTheme="majorHAnsi"/>
        </w:rPr>
        <w:footnoteReference w:id="114"/>
      </w:r>
      <w:r w:rsidR="000E32B2" w:rsidRPr="007C4B78">
        <w:rPr>
          <w:rFonts w:asciiTheme="majorHAnsi" w:hAnsiTheme="majorHAnsi"/>
        </w:rPr>
        <w:t>Despite the existence of these standards, t</w:t>
      </w:r>
      <w:r w:rsidRPr="007C4B78">
        <w:rPr>
          <w:rFonts w:asciiTheme="majorHAnsi" w:hAnsiTheme="majorHAnsi"/>
        </w:rPr>
        <w:t>here are no real mechanisms or processes to ascertain these preferences</w:t>
      </w:r>
      <w:r w:rsidR="000E32B2" w:rsidRPr="007C4B78">
        <w:rPr>
          <w:rFonts w:asciiTheme="majorHAnsi" w:hAnsiTheme="majorHAnsi"/>
        </w:rPr>
        <w:t xml:space="preserve"> of children</w:t>
      </w:r>
      <w:r w:rsidRPr="007C4B78">
        <w:rPr>
          <w:rFonts w:asciiTheme="majorHAnsi" w:hAnsiTheme="majorHAnsi"/>
        </w:rPr>
        <w:t xml:space="preserve"> beyond the Children First Guidelines </w:t>
      </w:r>
      <w:r w:rsidR="00213701" w:rsidRPr="007C4B78">
        <w:rPr>
          <w:rFonts w:asciiTheme="majorHAnsi" w:hAnsiTheme="majorHAnsi"/>
        </w:rPr>
        <w:t>referenced above, which only provide guidance</w:t>
      </w:r>
      <w:r w:rsidR="00346914" w:rsidRPr="007C4B78">
        <w:rPr>
          <w:rFonts w:asciiTheme="majorHAnsi" w:hAnsiTheme="majorHAnsi"/>
        </w:rPr>
        <w:t xml:space="preserve"> </w:t>
      </w:r>
      <w:r w:rsidR="00213701" w:rsidRPr="007C4B78">
        <w:rPr>
          <w:rFonts w:asciiTheme="majorHAnsi" w:hAnsiTheme="majorHAnsi"/>
        </w:rPr>
        <w:t xml:space="preserve">and do </w:t>
      </w:r>
      <w:r w:rsidR="00346914" w:rsidRPr="007C4B78">
        <w:rPr>
          <w:rFonts w:asciiTheme="majorHAnsi" w:hAnsiTheme="majorHAnsi"/>
        </w:rPr>
        <w:t xml:space="preserve">not </w:t>
      </w:r>
      <w:r w:rsidR="00213701" w:rsidRPr="007C4B78">
        <w:rPr>
          <w:rFonts w:asciiTheme="majorHAnsi" w:hAnsiTheme="majorHAnsi"/>
        </w:rPr>
        <w:t xml:space="preserve">impose </w:t>
      </w:r>
      <w:r w:rsidR="00346914" w:rsidRPr="007C4B78">
        <w:rPr>
          <w:rFonts w:asciiTheme="majorHAnsi" w:hAnsiTheme="majorHAnsi"/>
        </w:rPr>
        <w:t>legal requirements</w:t>
      </w:r>
      <w:r w:rsidR="00213701" w:rsidRPr="007C4B78">
        <w:rPr>
          <w:rFonts w:asciiTheme="majorHAnsi" w:hAnsiTheme="majorHAnsi"/>
        </w:rPr>
        <w:t xml:space="preserve"> on the relevant public bodies and state agencies</w:t>
      </w:r>
      <w:r w:rsidRPr="007C4B78">
        <w:rPr>
          <w:rFonts w:asciiTheme="majorHAnsi" w:hAnsiTheme="majorHAnsi"/>
        </w:rPr>
        <w:t>.  In addition</w:t>
      </w:r>
      <w:r w:rsidR="000E32B2" w:rsidRPr="007C4B78">
        <w:rPr>
          <w:rFonts w:asciiTheme="majorHAnsi" w:hAnsiTheme="majorHAnsi"/>
        </w:rPr>
        <w:t xml:space="preserve">, </w:t>
      </w:r>
      <w:r w:rsidRPr="007C4B78">
        <w:rPr>
          <w:rFonts w:asciiTheme="majorHAnsi" w:hAnsiTheme="majorHAnsi"/>
        </w:rPr>
        <w:t>studies have shown that the voices and opinions of children are often not considered</w:t>
      </w:r>
      <w:r w:rsidR="000E32B2" w:rsidRPr="007C4B78">
        <w:rPr>
          <w:rFonts w:asciiTheme="majorHAnsi" w:hAnsiTheme="majorHAnsi"/>
        </w:rPr>
        <w:t xml:space="preserve"> in practice in these proceedings</w:t>
      </w:r>
      <w:r w:rsidRPr="007C4B78">
        <w:rPr>
          <w:rFonts w:asciiTheme="majorHAnsi" w:hAnsiTheme="majorHAnsi"/>
        </w:rPr>
        <w:t>.</w:t>
      </w:r>
      <w:r w:rsidRPr="007C4B78">
        <w:rPr>
          <w:rStyle w:val="FootnoteReference"/>
          <w:rFonts w:asciiTheme="majorHAnsi" w:hAnsiTheme="majorHAnsi"/>
        </w:rPr>
        <w:footnoteReference w:id="115"/>
      </w:r>
    </w:p>
    <w:p w14:paraId="038F0663" w14:textId="77777777" w:rsidR="002140DD" w:rsidRPr="007C4B78" w:rsidRDefault="002140DD" w:rsidP="004D12C3">
      <w:pPr>
        <w:pStyle w:val="task"/>
        <w:tabs>
          <w:tab w:val="clear" w:pos="680"/>
        </w:tabs>
        <w:ind w:left="0" w:firstLine="0"/>
        <w:jc w:val="both"/>
        <w:rPr>
          <w:rFonts w:asciiTheme="majorHAnsi" w:hAnsiTheme="majorHAnsi"/>
        </w:rPr>
      </w:pPr>
    </w:p>
    <w:p w14:paraId="20F4A995" w14:textId="77777777" w:rsidR="002140DD" w:rsidRPr="007C4B78" w:rsidRDefault="002140DD"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t xml:space="preserve">Once a child is in care there are several HIQA standards that require information </w:t>
      </w:r>
      <w:proofErr w:type="gramStart"/>
      <w:r w:rsidRPr="007C4B78">
        <w:rPr>
          <w:rFonts w:asciiTheme="majorHAnsi" w:hAnsiTheme="majorHAnsi"/>
        </w:rPr>
        <w:t>be</w:t>
      </w:r>
      <w:proofErr w:type="gramEnd"/>
      <w:r w:rsidRPr="007C4B78">
        <w:rPr>
          <w:rFonts w:asciiTheme="majorHAnsi" w:hAnsiTheme="majorHAnsi"/>
        </w:rPr>
        <w:t xml:space="preserve"> provided to the child.</w:t>
      </w:r>
      <w:r w:rsidRPr="007C4B78">
        <w:rPr>
          <w:rStyle w:val="FootnoteReference"/>
          <w:rFonts w:asciiTheme="majorHAnsi" w:hAnsiTheme="majorHAnsi"/>
        </w:rPr>
        <w:footnoteReference w:id="116"/>
      </w:r>
      <w:r w:rsidRPr="007C4B78">
        <w:rPr>
          <w:rFonts w:asciiTheme="majorHAnsi" w:hAnsiTheme="majorHAnsi"/>
        </w:rPr>
        <w:t xml:space="preserve"> Most of these guidelines concern information about the centre or placement itself.  Residential centres are required to be given information about how to access their records and are guided in how to exercise this right.</w:t>
      </w:r>
      <w:r w:rsidRPr="007C4B78">
        <w:rPr>
          <w:rStyle w:val="FootnoteReference"/>
          <w:rFonts w:asciiTheme="majorHAnsi" w:hAnsiTheme="majorHAnsi"/>
        </w:rPr>
        <w:footnoteReference w:id="117"/>
      </w:r>
      <w:r w:rsidRPr="007C4B78">
        <w:rPr>
          <w:rFonts w:asciiTheme="majorHAnsi" w:hAnsiTheme="majorHAnsi"/>
        </w:rPr>
        <w:t xml:space="preserve"> The centres are also required to prepare and allow children to attend review meetings.</w:t>
      </w:r>
      <w:r w:rsidRPr="007C4B78">
        <w:rPr>
          <w:rStyle w:val="FootnoteReference"/>
          <w:rFonts w:asciiTheme="majorHAnsi" w:hAnsiTheme="majorHAnsi"/>
        </w:rPr>
        <w:footnoteReference w:id="118"/>
      </w:r>
    </w:p>
    <w:p w14:paraId="651A73A5" w14:textId="77777777" w:rsidR="002140DD" w:rsidRPr="007C4B78" w:rsidRDefault="002140DD" w:rsidP="004D12C3">
      <w:pPr>
        <w:pStyle w:val="task"/>
        <w:tabs>
          <w:tab w:val="clear" w:pos="680"/>
          <w:tab w:val="left" w:pos="0"/>
        </w:tabs>
        <w:ind w:left="0" w:firstLine="0"/>
        <w:jc w:val="both"/>
        <w:rPr>
          <w:rFonts w:asciiTheme="majorHAnsi" w:hAnsiTheme="majorHAnsi"/>
        </w:rPr>
      </w:pPr>
    </w:p>
    <w:p w14:paraId="42D37BD3" w14:textId="77777777" w:rsidR="002140DD" w:rsidRPr="007C4B78" w:rsidRDefault="002140DD"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t>HIQA standards require that children in residential care “</w:t>
      </w:r>
      <w:proofErr w:type="gramStart"/>
      <w:r w:rsidRPr="007C4B78">
        <w:rPr>
          <w:rFonts w:asciiTheme="majorHAnsi" w:hAnsiTheme="majorHAnsi"/>
        </w:rPr>
        <w:t>are</w:t>
      </w:r>
      <w:proofErr w:type="gramEnd"/>
      <w:r w:rsidRPr="007C4B78">
        <w:rPr>
          <w:rFonts w:asciiTheme="majorHAnsi" w:hAnsiTheme="majorHAnsi"/>
        </w:rPr>
        <w:t xml:space="preserve"> provided with age appropriate written information about all aspects of the centre.”</w:t>
      </w:r>
      <w:r w:rsidRPr="007C4B78">
        <w:rPr>
          <w:rStyle w:val="FootnoteReference"/>
          <w:rFonts w:asciiTheme="majorHAnsi" w:hAnsiTheme="majorHAnsi"/>
        </w:rPr>
        <w:footnoteReference w:id="119"/>
      </w:r>
      <w:r w:rsidRPr="007C4B78">
        <w:rPr>
          <w:rFonts w:asciiTheme="majorHAnsi" w:hAnsiTheme="majorHAnsi"/>
        </w:rPr>
        <w:t xml:space="preserve"> Children are to be told why they are in residential care and what their future expectations should be.</w:t>
      </w:r>
      <w:r w:rsidRPr="007C4B78">
        <w:rPr>
          <w:rStyle w:val="FootnoteReference"/>
          <w:rFonts w:asciiTheme="majorHAnsi" w:hAnsiTheme="majorHAnsi"/>
        </w:rPr>
        <w:footnoteReference w:id="120"/>
      </w:r>
      <w:r w:rsidRPr="007C4B78">
        <w:rPr>
          <w:rFonts w:asciiTheme="majorHAnsi" w:hAnsiTheme="majorHAnsi"/>
        </w:rPr>
        <w:t xml:space="preserve"> They must also be given their statutory care plan.</w:t>
      </w:r>
      <w:r w:rsidRPr="007C4B78">
        <w:rPr>
          <w:rStyle w:val="FootnoteReference"/>
          <w:rFonts w:asciiTheme="majorHAnsi" w:hAnsiTheme="majorHAnsi"/>
        </w:rPr>
        <w:footnoteReference w:id="121"/>
      </w:r>
      <w:r w:rsidRPr="007C4B78">
        <w:rPr>
          <w:rFonts w:asciiTheme="majorHAnsi" w:hAnsiTheme="majorHAnsi"/>
        </w:rPr>
        <w:t xml:space="preserve"> All of the HIQA </w:t>
      </w:r>
      <w:r w:rsidRPr="007C4B78">
        <w:rPr>
          <w:rFonts w:asciiTheme="majorHAnsi" w:hAnsiTheme="majorHAnsi"/>
        </w:rPr>
        <w:lastRenderedPageBreak/>
        <w:t>standards relating to children have a “child friendly version” and a version for “young people” available on their website.</w:t>
      </w:r>
      <w:r w:rsidRPr="007C4B78">
        <w:rPr>
          <w:rStyle w:val="FootnoteReference"/>
          <w:rFonts w:asciiTheme="majorHAnsi" w:hAnsiTheme="majorHAnsi"/>
        </w:rPr>
        <w:footnoteReference w:id="122"/>
      </w:r>
    </w:p>
    <w:p w14:paraId="4642234C" w14:textId="77777777" w:rsidR="002140DD" w:rsidRPr="007C4B78" w:rsidRDefault="002140DD" w:rsidP="004D12C3">
      <w:pPr>
        <w:jc w:val="both"/>
        <w:rPr>
          <w:rFonts w:asciiTheme="majorHAnsi" w:eastAsia="Calibri" w:hAnsiTheme="majorHAnsi"/>
        </w:rPr>
      </w:pPr>
    </w:p>
    <w:p w14:paraId="7250E5AF" w14:textId="77777777" w:rsidR="002140DD" w:rsidRPr="007C4B78" w:rsidRDefault="002140DD" w:rsidP="004D12C3">
      <w:pPr>
        <w:jc w:val="both"/>
        <w:rPr>
          <w:rFonts w:asciiTheme="majorHAnsi" w:eastAsia="Calibri" w:hAnsiTheme="majorHAnsi"/>
        </w:rPr>
      </w:pPr>
      <w:r w:rsidRPr="007C4B78">
        <w:rPr>
          <w:rFonts w:asciiTheme="majorHAnsi" w:eastAsia="Calibri" w:hAnsiTheme="majorHAnsi"/>
        </w:rPr>
        <w:t>According to an expert in care proceedings interviewed for this report</w:t>
      </w:r>
      <w:r w:rsidR="00DA0EDB" w:rsidRPr="007C4B78">
        <w:rPr>
          <w:rFonts w:asciiTheme="majorHAnsi" w:eastAsia="Calibri" w:hAnsiTheme="majorHAnsi"/>
        </w:rPr>
        <w:t>,</w:t>
      </w:r>
      <w:r w:rsidRPr="007C4B78">
        <w:rPr>
          <w:rFonts w:asciiTheme="majorHAnsi" w:eastAsia="Calibri" w:hAnsiTheme="majorHAnsi"/>
        </w:rPr>
        <w:t xml:space="preserve"> children over the age of 16 are often appointed separate legal representation in cases involving their placement in residential care, although there is no legal </w:t>
      </w:r>
      <w:r w:rsidR="00346914" w:rsidRPr="007C4B78">
        <w:rPr>
          <w:rFonts w:asciiTheme="majorHAnsi" w:eastAsia="Calibri" w:hAnsiTheme="majorHAnsi"/>
        </w:rPr>
        <w:t xml:space="preserve">requirement </w:t>
      </w:r>
      <w:r w:rsidR="00936C53" w:rsidRPr="007C4B78">
        <w:rPr>
          <w:rFonts w:asciiTheme="majorHAnsi" w:eastAsia="Calibri" w:hAnsiTheme="majorHAnsi"/>
        </w:rPr>
        <w:t>for</w:t>
      </w:r>
      <w:r w:rsidRPr="007C4B78">
        <w:rPr>
          <w:rFonts w:asciiTheme="majorHAnsi" w:eastAsia="Calibri" w:hAnsiTheme="majorHAnsi"/>
        </w:rPr>
        <w:t xml:space="preserve"> such representation.</w:t>
      </w:r>
      <w:r w:rsidRPr="007C4B78">
        <w:rPr>
          <w:rStyle w:val="FootnoteReference"/>
          <w:rFonts w:asciiTheme="majorHAnsi" w:eastAsia="Calibri" w:hAnsiTheme="majorHAnsi"/>
        </w:rPr>
        <w:footnoteReference w:id="123"/>
      </w:r>
      <w:r w:rsidR="00936C53" w:rsidRPr="007C4B78">
        <w:rPr>
          <w:rFonts w:asciiTheme="majorHAnsi" w:eastAsia="Calibri" w:hAnsiTheme="majorHAnsi"/>
        </w:rPr>
        <w:t xml:space="preserve"> </w:t>
      </w:r>
      <w:r w:rsidR="006B1090" w:rsidRPr="007C4B78">
        <w:rPr>
          <w:rFonts w:asciiTheme="majorHAnsi" w:eastAsia="Calibri" w:hAnsiTheme="majorHAnsi"/>
        </w:rPr>
        <w:t xml:space="preserve">The possibility to provide legal representation arises in such cases where the court </w:t>
      </w:r>
      <w:r w:rsidR="00936C53" w:rsidRPr="007C4B78">
        <w:rPr>
          <w:rFonts w:asciiTheme="majorHAnsi" w:eastAsia="Calibri" w:hAnsiTheme="majorHAnsi"/>
        </w:rPr>
        <w:t>make</w:t>
      </w:r>
      <w:r w:rsidR="006B1090" w:rsidRPr="007C4B78">
        <w:rPr>
          <w:rFonts w:asciiTheme="majorHAnsi" w:eastAsia="Calibri" w:hAnsiTheme="majorHAnsi"/>
        </w:rPr>
        <w:t>s</w:t>
      </w:r>
      <w:r w:rsidR="00936C53" w:rsidRPr="007C4B78">
        <w:rPr>
          <w:rFonts w:asciiTheme="majorHAnsi" w:eastAsia="Calibri" w:hAnsiTheme="majorHAnsi"/>
        </w:rPr>
        <w:t xml:space="preserve"> the child </w:t>
      </w:r>
      <w:r w:rsidR="006B1090" w:rsidRPr="007C4B78">
        <w:rPr>
          <w:rFonts w:asciiTheme="majorHAnsi" w:eastAsia="Calibri" w:hAnsiTheme="majorHAnsi"/>
        </w:rPr>
        <w:t>a party to the proceedings</w:t>
      </w:r>
      <w:r w:rsidR="005215C4" w:rsidRPr="007C4B78">
        <w:rPr>
          <w:rFonts w:asciiTheme="majorHAnsi" w:eastAsia="Calibri" w:hAnsiTheme="majorHAnsi"/>
        </w:rPr>
        <w:t>.</w:t>
      </w:r>
      <w:r w:rsidR="006B1090" w:rsidRPr="007C4B78">
        <w:rPr>
          <w:rStyle w:val="FootnoteReference"/>
          <w:rFonts w:asciiTheme="majorHAnsi" w:eastAsia="Calibri" w:hAnsiTheme="majorHAnsi"/>
        </w:rPr>
        <w:footnoteReference w:id="124"/>
      </w:r>
      <w:r w:rsidR="00936C53" w:rsidRPr="007C4B78">
        <w:rPr>
          <w:rFonts w:asciiTheme="majorHAnsi" w:eastAsia="Calibri" w:hAnsiTheme="majorHAnsi"/>
        </w:rPr>
        <w:t xml:space="preserve"> </w:t>
      </w:r>
      <w:r w:rsidRPr="007C4B78">
        <w:rPr>
          <w:rFonts w:asciiTheme="majorHAnsi" w:eastAsia="Calibri" w:hAnsiTheme="majorHAnsi"/>
        </w:rPr>
        <w:t>In other interviews for this report,</w:t>
      </w:r>
      <w:r w:rsidR="00213701" w:rsidRPr="007C4B78">
        <w:rPr>
          <w:rFonts w:asciiTheme="majorHAnsi" w:eastAsia="Calibri" w:hAnsiTheme="majorHAnsi"/>
        </w:rPr>
        <w:t xml:space="preserve"> </w:t>
      </w:r>
      <w:r w:rsidR="00E87BA3" w:rsidRPr="007C4B78">
        <w:rPr>
          <w:rFonts w:asciiTheme="majorHAnsi" w:eastAsia="Calibri" w:hAnsiTheme="majorHAnsi"/>
        </w:rPr>
        <w:t>we learned of</w:t>
      </w:r>
      <w:r w:rsidR="00DA0EDB" w:rsidRPr="007C4B78">
        <w:rPr>
          <w:rFonts w:asciiTheme="majorHAnsi" w:eastAsia="Calibri" w:hAnsiTheme="majorHAnsi"/>
        </w:rPr>
        <w:t xml:space="preserve"> a case</w:t>
      </w:r>
      <w:r w:rsidR="00213701" w:rsidRPr="007C4B78">
        <w:rPr>
          <w:rFonts w:asciiTheme="majorHAnsi" w:eastAsia="Calibri" w:hAnsiTheme="majorHAnsi"/>
        </w:rPr>
        <w:t xml:space="preserve"> </w:t>
      </w:r>
      <w:r w:rsidRPr="007C4B78">
        <w:rPr>
          <w:rFonts w:asciiTheme="majorHAnsi" w:eastAsia="Calibri" w:hAnsiTheme="majorHAnsi"/>
        </w:rPr>
        <w:t xml:space="preserve">involving a child </w:t>
      </w:r>
      <w:r w:rsidR="00E87BA3" w:rsidRPr="007C4B78">
        <w:rPr>
          <w:rFonts w:asciiTheme="majorHAnsi" w:eastAsia="Calibri" w:hAnsiTheme="majorHAnsi"/>
        </w:rPr>
        <w:t>sent to</w:t>
      </w:r>
      <w:r w:rsidRPr="007C4B78">
        <w:rPr>
          <w:rFonts w:asciiTheme="majorHAnsi" w:eastAsia="Calibri" w:hAnsiTheme="majorHAnsi"/>
        </w:rPr>
        <w:t xml:space="preserve"> a secure care placement abroad</w:t>
      </w:r>
      <w:r w:rsidR="00E87BA3" w:rsidRPr="007C4B78">
        <w:rPr>
          <w:rFonts w:asciiTheme="majorHAnsi" w:eastAsia="Calibri" w:hAnsiTheme="majorHAnsi"/>
        </w:rPr>
        <w:t>. T</w:t>
      </w:r>
      <w:r w:rsidRPr="007C4B78">
        <w:rPr>
          <w:rFonts w:asciiTheme="majorHAnsi" w:eastAsia="Calibri" w:hAnsiTheme="majorHAnsi"/>
        </w:rPr>
        <w:t xml:space="preserve">he child </w:t>
      </w:r>
      <w:r w:rsidR="00E87BA3" w:rsidRPr="007C4B78">
        <w:rPr>
          <w:rFonts w:asciiTheme="majorHAnsi" w:eastAsia="Calibri" w:hAnsiTheme="majorHAnsi"/>
        </w:rPr>
        <w:t xml:space="preserve">had a guardian ad litem for the case and </w:t>
      </w:r>
      <w:r w:rsidRPr="007C4B78">
        <w:rPr>
          <w:rFonts w:asciiTheme="majorHAnsi" w:eastAsia="Calibri" w:hAnsiTheme="majorHAnsi"/>
        </w:rPr>
        <w:t>wrote a letter to the judge following the placement. The parent of the child in this case noted that in the UK where the child was placed the child had access to a solicitor for the care related proceedings as an entitlement under law.</w:t>
      </w:r>
      <w:r w:rsidRPr="007C4B78">
        <w:rPr>
          <w:rStyle w:val="FootnoteReference"/>
          <w:rFonts w:asciiTheme="majorHAnsi" w:eastAsia="Calibri" w:hAnsiTheme="majorHAnsi"/>
        </w:rPr>
        <w:footnoteReference w:id="125"/>
      </w:r>
    </w:p>
    <w:p w14:paraId="24886AEE" w14:textId="77777777" w:rsidR="002140DD" w:rsidRPr="007C4B78" w:rsidRDefault="002140DD" w:rsidP="004D12C3">
      <w:pPr>
        <w:pStyle w:val="task"/>
        <w:tabs>
          <w:tab w:val="clear" w:pos="680"/>
        </w:tabs>
        <w:ind w:left="0" w:firstLine="0"/>
        <w:jc w:val="both"/>
        <w:rPr>
          <w:rFonts w:asciiTheme="majorHAnsi" w:hAnsiTheme="majorHAnsi"/>
        </w:rPr>
      </w:pPr>
    </w:p>
    <w:p w14:paraId="207AE5C9" w14:textId="77777777" w:rsidR="00AC5E18" w:rsidRPr="007C4B78" w:rsidRDefault="00AC5E18" w:rsidP="004D12C3">
      <w:pPr>
        <w:pStyle w:val="Heading4"/>
        <w:jc w:val="both"/>
      </w:pPr>
      <w:r w:rsidRPr="007C4B78">
        <w:t>Guardians Ad Litem</w:t>
      </w:r>
    </w:p>
    <w:p w14:paraId="25CE01C6" w14:textId="77777777" w:rsidR="00AC5E18" w:rsidRPr="007C4B78" w:rsidRDefault="00AC5E18" w:rsidP="004D12C3">
      <w:pPr>
        <w:jc w:val="both"/>
        <w:rPr>
          <w:rFonts w:asciiTheme="majorHAnsi" w:eastAsia="Calibri" w:hAnsiTheme="majorHAnsi"/>
        </w:rPr>
      </w:pPr>
      <w:r w:rsidRPr="007C4B78">
        <w:rPr>
          <w:rFonts w:asciiTheme="majorHAnsi" w:eastAsia="Calibri" w:hAnsiTheme="majorHAnsi"/>
        </w:rPr>
        <w:t xml:space="preserve">Any child in care proceedings or under </w:t>
      </w:r>
      <w:r w:rsidR="000E32B2" w:rsidRPr="007C4B78">
        <w:rPr>
          <w:rFonts w:asciiTheme="majorHAnsi" w:eastAsia="Calibri" w:hAnsiTheme="majorHAnsi"/>
        </w:rPr>
        <w:t xml:space="preserve">a </w:t>
      </w:r>
      <w:r w:rsidRPr="007C4B78">
        <w:rPr>
          <w:rFonts w:asciiTheme="majorHAnsi" w:eastAsia="Calibri" w:hAnsiTheme="majorHAnsi"/>
        </w:rPr>
        <w:t>care order may be appointed a guardian ad litem by the court if the court is satisfied that it is necessary in the interests of the child and</w:t>
      </w:r>
      <w:r w:rsidR="00936C53" w:rsidRPr="007C4B78">
        <w:rPr>
          <w:rFonts w:asciiTheme="majorHAnsi" w:eastAsia="Calibri" w:hAnsiTheme="majorHAnsi"/>
        </w:rPr>
        <w:t xml:space="preserve"> </w:t>
      </w:r>
      <w:r w:rsidR="000E32B2" w:rsidRPr="007C4B78">
        <w:rPr>
          <w:rFonts w:asciiTheme="majorHAnsi" w:eastAsia="Calibri" w:hAnsiTheme="majorHAnsi"/>
        </w:rPr>
        <w:t>an interests of</w:t>
      </w:r>
      <w:r w:rsidRPr="007C4B78">
        <w:rPr>
          <w:rFonts w:asciiTheme="majorHAnsi" w:eastAsia="Calibri" w:hAnsiTheme="majorHAnsi"/>
        </w:rPr>
        <w:t xml:space="preserve"> justice to do so.</w:t>
      </w:r>
      <w:r w:rsidRPr="007C4B78">
        <w:rPr>
          <w:rStyle w:val="FootnoteReference"/>
          <w:rFonts w:asciiTheme="majorHAnsi" w:eastAsia="Calibri" w:hAnsiTheme="majorHAnsi"/>
        </w:rPr>
        <w:footnoteReference w:id="126"/>
      </w:r>
      <w:r w:rsidR="00936C53" w:rsidRPr="007C4B78">
        <w:rPr>
          <w:rFonts w:asciiTheme="majorHAnsi" w:eastAsia="Calibri" w:hAnsiTheme="majorHAnsi"/>
        </w:rPr>
        <w:t xml:space="preserve"> </w:t>
      </w:r>
      <w:proofErr w:type="gramStart"/>
      <w:r w:rsidR="00B955FC" w:rsidRPr="007C4B78">
        <w:rPr>
          <w:rFonts w:asciiTheme="majorHAnsi" w:eastAsia="Calibri" w:hAnsiTheme="majorHAnsi"/>
        </w:rPr>
        <w:t>Guardians</w:t>
      </w:r>
      <w:proofErr w:type="gramEnd"/>
      <w:r w:rsidR="00B955FC" w:rsidRPr="007C4B78">
        <w:rPr>
          <w:rFonts w:asciiTheme="majorHAnsi" w:eastAsia="Calibri" w:hAnsiTheme="majorHAnsi"/>
        </w:rPr>
        <w:t xml:space="preserve"> ad litem</w:t>
      </w:r>
      <w:r w:rsidRPr="007C4B78">
        <w:rPr>
          <w:rFonts w:asciiTheme="majorHAnsi" w:eastAsia="Calibri" w:hAnsiTheme="majorHAnsi"/>
        </w:rPr>
        <w:t xml:space="preserve"> can also be appointed in custody and family law cases.</w:t>
      </w:r>
      <w:r w:rsidRPr="007C4B78">
        <w:rPr>
          <w:rStyle w:val="FootnoteReference"/>
          <w:rFonts w:asciiTheme="majorHAnsi" w:eastAsia="Calibri" w:hAnsiTheme="majorHAnsi"/>
        </w:rPr>
        <w:footnoteReference w:id="127"/>
      </w:r>
      <w:r w:rsidR="00936C53" w:rsidRPr="007C4B78">
        <w:rPr>
          <w:rFonts w:asciiTheme="majorHAnsi" w:eastAsia="Calibri" w:hAnsiTheme="majorHAnsi"/>
        </w:rPr>
        <w:t xml:space="preserve"> </w:t>
      </w:r>
      <w:r w:rsidR="002D4411" w:rsidRPr="007C4B78">
        <w:rPr>
          <w:rFonts w:asciiTheme="majorHAnsi" w:eastAsia="Calibri" w:hAnsiTheme="majorHAnsi"/>
        </w:rPr>
        <w:t xml:space="preserve"> </w:t>
      </w:r>
      <w:r w:rsidRPr="007C4B78">
        <w:rPr>
          <w:rFonts w:asciiTheme="majorHAnsi" w:eastAsia="Calibri" w:hAnsiTheme="majorHAnsi"/>
        </w:rPr>
        <w:t xml:space="preserve">The HSE is responsible for paying </w:t>
      </w:r>
      <w:r w:rsidR="00B13592" w:rsidRPr="007C4B78">
        <w:rPr>
          <w:rFonts w:asciiTheme="majorHAnsi" w:eastAsia="Calibri" w:hAnsiTheme="majorHAnsi"/>
        </w:rPr>
        <w:t xml:space="preserve">the </w:t>
      </w:r>
      <w:r w:rsidRPr="007C4B78">
        <w:rPr>
          <w:rFonts w:asciiTheme="majorHAnsi" w:eastAsia="Calibri" w:hAnsiTheme="majorHAnsi"/>
        </w:rPr>
        <w:t>costs incurred by a person acting as a guardian ad litem in care proceedings and may apply to the court to have another party pay the expenses.</w:t>
      </w:r>
      <w:r w:rsidRPr="007C4B78">
        <w:rPr>
          <w:rStyle w:val="FootnoteReference"/>
          <w:rFonts w:asciiTheme="majorHAnsi" w:eastAsia="Calibri" w:hAnsiTheme="majorHAnsi"/>
        </w:rPr>
        <w:footnoteReference w:id="128"/>
      </w:r>
      <w:r w:rsidRPr="007C4B78">
        <w:rPr>
          <w:rFonts w:asciiTheme="majorHAnsi" w:eastAsia="Calibri" w:hAnsiTheme="majorHAnsi"/>
        </w:rPr>
        <w:t>A guardian ad litem is also available in cases of special care proceedings.</w:t>
      </w:r>
      <w:r w:rsidRPr="007C4B78">
        <w:rPr>
          <w:rStyle w:val="FootnoteReference"/>
          <w:rFonts w:asciiTheme="majorHAnsi" w:eastAsia="Calibri" w:hAnsiTheme="majorHAnsi"/>
        </w:rPr>
        <w:footnoteReference w:id="129"/>
      </w:r>
      <w:r w:rsidR="005215C4" w:rsidRPr="007C4B78">
        <w:rPr>
          <w:rFonts w:asciiTheme="majorHAnsi" w:eastAsia="Calibri" w:hAnsiTheme="majorHAnsi"/>
        </w:rPr>
        <w:t xml:space="preserve"> </w:t>
      </w:r>
      <w:r w:rsidRPr="007C4B78">
        <w:rPr>
          <w:rFonts w:asciiTheme="majorHAnsi" w:eastAsia="Calibri" w:hAnsiTheme="majorHAnsi"/>
        </w:rPr>
        <w:t xml:space="preserve">District Court rules have expanded the use of </w:t>
      </w:r>
      <w:proofErr w:type="gramStart"/>
      <w:r w:rsidR="00B955FC" w:rsidRPr="007C4B78">
        <w:rPr>
          <w:rFonts w:asciiTheme="majorHAnsi" w:eastAsia="Calibri" w:hAnsiTheme="majorHAnsi"/>
        </w:rPr>
        <w:t>guardians</w:t>
      </w:r>
      <w:proofErr w:type="gramEnd"/>
      <w:r w:rsidR="00B955FC" w:rsidRPr="007C4B78">
        <w:rPr>
          <w:rFonts w:asciiTheme="majorHAnsi" w:eastAsia="Calibri" w:hAnsiTheme="majorHAnsi"/>
        </w:rPr>
        <w:t xml:space="preserve"> ad litem</w:t>
      </w:r>
      <w:r w:rsidRPr="007C4B78">
        <w:rPr>
          <w:rFonts w:asciiTheme="majorHAnsi" w:eastAsia="Calibri" w:hAnsiTheme="majorHAnsi"/>
        </w:rPr>
        <w:t xml:space="preserve"> beyond care proceedings to allow the court to appoint a guardian ad litem</w:t>
      </w:r>
      <w:r w:rsidR="00936C53" w:rsidRPr="007C4B78">
        <w:rPr>
          <w:rFonts w:asciiTheme="majorHAnsi" w:eastAsia="Calibri" w:hAnsiTheme="majorHAnsi"/>
        </w:rPr>
        <w:t xml:space="preserve"> </w:t>
      </w:r>
      <w:r w:rsidRPr="007C4B78">
        <w:rPr>
          <w:rFonts w:asciiTheme="majorHAnsi" w:eastAsia="Calibri" w:hAnsiTheme="majorHAnsi"/>
        </w:rPr>
        <w:t>in “any proceedings …brought before the court on behalf or against a minor” where the court finds it appropriate.</w:t>
      </w:r>
      <w:r w:rsidRPr="007C4B78">
        <w:rPr>
          <w:rStyle w:val="FootnoteReference"/>
          <w:rFonts w:asciiTheme="majorHAnsi" w:eastAsia="Calibri" w:hAnsiTheme="majorHAnsi"/>
        </w:rPr>
        <w:footnoteReference w:id="130"/>
      </w:r>
      <w:r w:rsidRPr="007C4B78">
        <w:rPr>
          <w:rFonts w:asciiTheme="majorHAnsi" w:eastAsia="Calibri" w:hAnsiTheme="majorHAnsi"/>
        </w:rPr>
        <w:t xml:space="preserve"> A </w:t>
      </w:r>
      <w:r w:rsidR="00B955FC" w:rsidRPr="007C4B78">
        <w:rPr>
          <w:rFonts w:asciiTheme="majorHAnsi" w:eastAsia="Calibri" w:hAnsiTheme="majorHAnsi"/>
        </w:rPr>
        <w:t>guardian ad litem</w:t>
      </w:r>
      <w:r w:rsidR="00936C53" w:rsidRPr="007C4B78">
        <w:rPr>
          <w:rFonts w:asciiTheme="majorHAnsi" w:eastAsia="Calibri" w:hAnsiTheme="majorHAnsi"/>
        </w:rPr>
        <w:t xml:space="preserve"> </w:t>
      </w:r>
      <w:r w:rsidRPr="007C4B78">
        <w:rPr>
          <w:rFonts w:asciiTheme="majorHAnsi" w:eastAsia="Calibri" w:hAnsiTheme="majorHAnsi"/>
        </w:rPr>
        <w:t>may also be appointed in cases of social care services for children with disabilities brought for judicial review.</w:t>
      </w:r>
      <w:r w:rsidRPr="007C4B78">
        <w:rPr>
          <w:rStyle w:val="FootnoteReference"/>
          <w:rFonts w:asciiTheme="majorHAnsi" w:eastAsia="Calibri" w:hAnsiTheme="majorHAnsi"/>
        </w:rPr>
        <w:footnoteReference w:id="131"/>
      </w:r>
    </w:p>
    <w:p w14:paraId="6B26D3C8" w14:textId="77777777" w:rsidR="00AC5E18" w:rsidRPr="007C4B78" w:rsidRDefault="00AC5E18" w:rsidP="004D12C3">
      <w:pPr>
        <w:jc w:val="both"/>
        <w:rPr>
          <w:rFonts w:asciiTheme="majorHAnsi" w:eastAsia="Calibri" w:hAnsiTheme="majorHAnsi"/>
        </w:rPr>
      </w:pPr>
    </w:p>
    <w:p w14:paraId="4B978B1A" w14:textId="77777777" w:rsidR="00AC5E18" w:rsidRPr="007C4B78" w:rsidRDefault="00AC5E18" w:rsidP="004D12C3">
      <w:pPr>
        <w:jc w:val="both"/>
        <w:rPr>
          <w:rFonts w:asciiTheme="majorHAnsi" w:eastAsia="Calibri" w:hAnsiTheme="majorHAnsi"/>
        </w:rPr>
      </w:pPr>
      <w:r w:rsidRPr="007C4B78">
        <w:rPr>
          <w:rFonts w:asciiTheme="majorHAnsi" w:eastAsia="Calibri" w:hAnsiTheme="majorHAnsi"/>
        </w:rPr>
        <w:t xml:space="preserve">The guidelines for the guardian ad litem, published by the now defunct Children Acts Advisory Board (CAAB), require that the guardian ad litem “meet with the child as often as needed so that the child’s wishes and interests are known and </w:t>
      </w:r>
      <w:r w:rsidRPr="007C4B78">
        <w:rPr>
          <w:rFonts w:asciiTheme="majorHAnsi" w:eastAsia="Calibri" w:hAnsiTheme="majorHAnsi"/>
        </w:rPr>
        <w:lastRenderedPageBreak/>
        <w:t>“adequately represented to court.”</w:t>
      </w:r>
      <w:r w:rsidRPr="007C4B78">
        <w:rPr>
          <w:rStyle w:val="FootnoteReference"/>
          <w:rFonts w:asciiTheme="majorHAnsi" w:eastAsia="Calibri" w:hAnsiTheme="majorHAnsi"/>
        </w:rPr>
        <w:footnoteReference w:id="132"/>
      </w:r>
      <w:r w:rsidRPr="007C4B78">
        <w:rPr>
          <w:rFonts w:asciiTheme="majorHAnsi" w:eastAsia="Calibri" w:hAnsiTheme="majorHAnsi"/>
        </w:rPr>
        <w:t xml:space="preserve"> Under the CAAB guidelines the </w:t>
      </w:r>
      <w:r w:rsidR="00B955FC" w:rsidRPr="007C4B78">
        <w:rPr>
          <w:rFonts w:asciiTheme="majorHAnsi" w:eastAsia="Calibri" w:hAnsiTheme="majorHAnsi"/>
        </w:rPr>
        <w:t>guardian ad litem</w:t>
      </w:r>
      <w:r w:rsidRPr="007C4B78">
        <w:rPr>
          <w:rFonts w:asciiTheme="majorHAnsi" w:eastAsia="Calibri" w:hAnsiTheme="majorHAnsi"/>
        </w:rPr>
        <w:t xml:space="preserve"> may also seek</w:t>
      </w:r>
      <w:r w:rsidR="00B13592" w:rsidRPr="007C4B78">
        <w:rPr>
          <w:rFonts w:asciiTheme="majorHAnsi" w:eastAsia="Calibri" w:hAnsiTheme="majorHAnsi"/>
        </w:rPr>
        <w:t xml:space="preserve"> the</w:t>
      </w:r>
      <w:r w:rsidRPr="007C4B78">
        <w:rPr>
          <w:rFonts w:asciiTheme="majorHAnsi" w:eastAsia="Calibri" w:hAnsiTheme="majorHAnsi"/>
        </w:rPr>
        <w:t xml:space="preserve"> appointment of a legal representative for the child.</w:t>
      </w:r>
      <w:r w:rsidRPr="007C4B78">
        <w:rPr>
          <w:rStyle w:val="FootnoteReference"/>
          <w:rFonts w:asciiTheme="majorHAnsi" w:eastAsia="Calibri" w:hAnsiTheme="majorHAnsi"/>
        </w:rPr>
        <w:footnoteReference w:id="133"/>
      </w:r>
      <w:r w:rsidRPr="007C4B78">
        <w:rPr>
          <w:rFonts w:asciiTheme="majorHAnsi" w:eastAsia="Calibri" w:hAnsiTheme="majorHAnsi"/>
        </w:rPr>
        <w:t xml:space="preserve"> A </w:t>
      </w:r>
      <w:r w:rsidR="00B955FC" w:rsidRPr="007C4B78">
        <w:rPr>
          <w:rFonts w:asciiTheme="majorHAnsi" w:eastAsia="Calibri" w:hAnsiTheme="majorHAnsi"/>
        </w:rPr>
        <w:t>guardian ad litem</w:t>
      </w:r>
      <w:r w:rsidR="00ED6C88" w:rsidRPr="007C4B78">
        <w:rPr>
          <w:rFonts w:asciiTheme="majorHAnsi" w:eastAsia="Calibri" w:hAnsiTheme="majorHAnsi"/>
        </w:rPr>
        <w:t xml:space="preserve"> </w:t>
      </w:r>
      <w:r w:rsidRPr="007C4B78">
        <w:rPr>
          <w:rFonts w:asciiTheme="majorHAnsi" w:eastAsia="Calibri" w:hAnsiTheme="majorHAnsi"/>
        </w:rPr>
        <w:t>is not a solicitor or barrister but is required to have a third level qualification in social work, psychology or other relevant field and at least five years postgraduate experience working in child welfare/protection systems.</w:t>
      </w:r>
      <w:r w:rsidRPr="007C4B78">
        <w:rPr>
          <w:rStyle w:val="FootnoteReference"/>
          <w:rFonts w:asciiTheme="majorHAnsi" w:eastAsia="Calibri" w:hAnsiTheme="majorHAnsi"/>
        </w:rPr>
        <w:footnoteReference w:id="134"/>
      </w:r>
      <w:r w:rsidRPr="007C4B78">
        <w:rPr>
          <w:rFonts w:asciiTheme="majorHAnsi" w:eastAsia="Calibri" w:hAnsiTheme="majorHAnsi"/>
        </w:rPr>
        <w:t xml:space="preserve"> Under the guidelines a </w:t>
      </w:r>
      <w:r w:rsidR="00B955FC" w:rsidRPr="007C4B78">
        <w:rPr>
          <w:rFonts w:asciiTheme="majorHAnsi" w:eastAsia="Calibri" w:hAnsiTheme="majorHAnsi"/>
        </w:rPr>
        <w:t>guardian ad litem</w:t>
      </w:r>
      <w:r w:rsidR="00ED6C88" w:rsidRPr="007C4B78">
        <w:rPr>
          <w:rFonts w:asciiTheme="majorHAnsi" w:eastAsia="Calibri" w:hAnsiTheme="majorHAnsi"/>
        </w:rPr>
        <w:t xml:space="preserve"> </w:t>
      </w:r>
      <w:r w:rsidRPr="007C4B78">
        <w:rPr>
          <w:rFonts w:asciiTheme="majorHAnsi" w:eastAsia="Calibri" w:hAnsiTheme="majorHAnsi"/>
        </w:rPr>
        <w:t>must be able “to communicate with and assess children in stressful situations,”</w:t>
      </w:r>
      <w:r w:rsidRPr="007C4B78">
        <w:rPr>
          <w:rStyle w:val="FootnoteReference"/>
          <w:rFonts w:asciiTheme="majorHAnsi" w:eastAsia="Calibri" w:hAnsiTheme="majorHAnsi"/>
        </w:rPr>
        <w:footnoteReference w:id="135"/>
      </w:r>
      <w:r w:rsidRPr="007C4B78">
        <w:rPr>
          <w:rFonts w:asciiTheme="majorHAnsi" w:eastAsia="Calibri" w:hAnsiTheme="majorHAnsi"/>
        </w:rPr>
        <w:t xml:space="preserve"> and conduct a detailed inquiry into the child’s psychological and emotional development and educational needs</w:t>
      </w:r>
      <w:r w:rsidR="00234C6D" w:rsidRPr="007C4B78">
        <w:rPr>
          <w:rFonts w:asciiTheme="majorHAnsi" w:eastAsia="Calibri" w:hAnsiTheme="majorHAnsi"/>
          <w:lang w:val="en-US"/>
        </w:rPr>
        <w:t>.</w:t>
      </w:r>
      <w:r w:rsidRPr="007C4B78">
        <w:rPr>
          <w:rStyle w:val="FootnoteReference"/>
          <w:rFonts w:asciiTheme="majorHAnsi" w:eastAsia="Calibri" w:hAnsiTheme="majorHAnsi"/>
        </w:rPr>
        <w:footnoteReference w:id="136"/>
      </w:r>
    </w:p>
    <w:p w14:paraId="0FC05092" w14:textId="77777777" w:rsidR="00AC5E18" w:rsidRPr="007C4B78" w:rsidRDefault="00AC5E18" w:rsidP="004D12C3">
      <w:pPr>
        <w:jc w:val="both"/>
        <w:rPr>
          <w:rFonts w:asciiTheme="majorHAnsi" w:eastAsia="Calibri" w:hAnsiTheme="majorHAnsi"/>
        </w:rPr>
      </w:pPr>
    </w:p>
    <w:p w14:paraId="5FDFA8A2" w14:textId="77777777" w:rsidR="00AC5E18" w:rsidRPr="007C4B78" w:rsidRDefault="00AC5E18" w:rsidP="004D12C3">
      <w:pPr>
        <w:jc w:val="both"/>
        <w:rPr>
          <w:rFonts w:asciiTheme="majorHAnsi" w:eastAsia="Calibri" w:hAnsiTheme="majorHAnsi"/>
        </w:rPr>
      </w:pPr>
      <w:r w:rsidRPr="007C4B78">
        <w:rPr>
          <w:rFonts w:asciiTheme="majorHAnsi" w:eastAsia="Calibri" w:hAnsiTheme="majorHAnsi"/>
        </w:rPr>
        <w:t>A study on child rights in Ireland noted that children “are only appointed a guardian ad litem in rare cases.”</w:t>
      </w:r>
      <w:r w:rsidRPr="007C4B78">
        <w:rPr>
          <w:rStyle w:val="FootnoteReference"/>
          <w:rFonts w:asciiTheme="majorHAnsi" w:eastAsia="Calibri" w:hAnsiTheme="majorHAnsi"/>
        </w:rPr>
        <w:footnoteReference w:id="137"/>
      </w:r>
      <w:r w:rsidRPr="007C4B78">
        <w:rPr>
          <w:rFonts w:asciiTheme="majorHAnsi" w:eastAsia="Calibri" w:hAnsiTheme="majorHAnsi"/>
        </w:rPr>
        <w:t xml:space="preserve"> A report for the Ombudsman of Children highlighted that there is no statutory provision for ensuring there are appropriately qualified </w:t>
      </w:r>
      <w:r w:rsidR="00B955FC" w:rsidRPr="007C4B78">
        <w:rPr>
          <w:rFonts w:asciiTheme="majorHAnsi" w:eastAsia="Calibri" w:hAnsiTheme="majorHAnsi"/>
        </w:rPr>
        <w:t>guardians ad litem</w:t>
      </w:r>
      <w:r w:rsidRPr="007C4B78">
        <w:rPr>
          <w:rFonts w:asciiTheme="majorHAnsi" w:eastAsia="Calibri" w:hAnsiTheme="majorHAnsi"/>
        </w:rPr>
        <w:t>.</w:t>
      </w:r>
      <w:r w:rsidRPr="007C4B78">
        <w:rPr>
          <w:rStyle w:val="FootnoteReference"/>
          <w:rFonts w:asciiTheme="majorHAnsi" w:eastAsia="Calibri" w:hAnsiTheme="majorHAnsi"/>
        </w:rPr>
        <w:footnoteReference w:id="138"/>
      </w:r>
      <w:r w:rsidRPr="007C4B78">
        <w:rPr>
          <w:rFonts w:asciiTheme="majorHAnsi" w:eastAsia="Calibri" w:hAnsiTheme="majorHAnsi"/>
        </w:rPr>
        <w:t xml:space="preserve">  Although Barnardos offers a </w:t>
      </w:r>
      <w:r w:rsidR="00B955FC" w:rsidRPr="007C4B78">
        <w:rPr>
          <w:rFonts w:asciiTheme="majorHAnsi" w:eastAsia="Calibri" w:hAnsiTheme="majorHAnsi"/>
        </w:rPr>
        <w:t>guardian ad litem</w:t>
      </w:r>
      <w:r w:rsidRPr="007C4B78">
        <w:rPr>
          <w:rFonts w:asciiTheme="majorHAnsi" w:eastAsia="Calibri" w:hAnsiTheme="majorHAnsi"/>
        </w:rPr>
        <w:t xml:space="preserve">service, lack </w:t>
      </w:r>
      <w:r w:rsidR="00540BF1" w:rsidRPr="007C4B78">
        <w:rPr>
          <w:rFonts w:asciiTheme="majorHAnsi" w:eastAsia="Calibri" w:hAnsiTheme="majorHAnsi"/>
        </w:rPr>
        <w:t xml:space="preserve">of </w:t>
      </w:r>
      <w:r w:rsidRPr="007C4B78">
        <w:rPr>
          <w:rFonts w:asciiTheme="majorHAnsi" w:eastAsia="Calibri" w:hAnsiTheme="majorHAnsi"/>
        </w:rPr>
        <w:t>funding is a limiting factor.</w:t>
      </w:r>
      <w:r w:rsidRPr="007C4B78">
        <w:rPr>
          <w:rStyle w:val="FootnoteReference"/>
          <w:rFonts w:asciiTheme="majorHAnsi" w:eastAsia="Calibri" w:hAnsiTheme="majorHAnsi"/>
        </w:rPr>
        <w:footnoteReference w:id="139"/>
      </w:r>
      <w:r w:rsidRPr="007C4B78">
        <w:rPr>
          <w:rFonts w:asciiTheme="majorHAnsi" w:eastAsia="Calibri" w:hAnsiTheme="majorHAnsi"/>
        </w:rPr>
        <w:t xml:space="preserve">Selection and vetting of </w:t>
      </w:r>
      <w:r w:rsidR="00B955FC" w:rsidRPr="007C4B78">
        <w:rPr>
          <w:rFonts w:asciiTheme="majorHAnsi" w:eastAsia="Calibri" w:hAnsiTheme="majorHAnsi"/>
        </w:rPr>
        <w:t>guardians ad litem</w:t>
      </w:r>
      <w:r w:rsidRPr="007C4B78">
        <w:rPr>
          <w:rFonts w:asciiTheme="majorHAnsi" w:eastAsia="Calibri" w:hAnsiTheme="majorHAnsi"/>
        </w:rPr>
        <w:t xml:space="preserve"> was described as “following no set pattern” in a</w:t>
      </w:r>
      <w:r w:rsidR="00ED6C88" w:rsidRPr="007C4B78">
        <w:rPr>
          <w:rFonts w:asciiTheme="majorHAnsi" w:eastAsia="Calibri" w:hAnsiTheme="majorHAnsi"/>
        </w:rPr>
        <w:t xml:space="preserve"> </w:t>
      </w:r>
      <w:r w:rsidR="00330556" w:rsidRPr="007C4B78">
        <w:rPr>
          <w:rFonts w:asciiTheme="majorHAnsi" w:eastAsia="Calibri" w:hAnsiTheme="majorHAnsi"/>
        </w:rPr>
        <w:t xml:space="preserve">previous </w:t>
      </w:r>
      <w:r w:rsidRPr="007C4B78">
        <w:rPr>
          <w:rFonts w:asciiTheme="majorHAnsi" w:eastAsia="Calibri" w:hAnsiTheme="majorHAnsi"/>
        </w:rPr>
        <w:t>study of the mechanism.</w:t>
      </w:r>
      <w:r w:rsidRPr="007C4B78">
        <w:rPr>
          <w:rStyle w:val="FootnoteReference"/>
          <w:rFonts w:asciiTheme="majorHAnsi" w:eastAsia="Calibri" w:hAnsiTheme="majorHAnsi"/>
        </w:rPr>
        <w:footnoteReference w:id="140"/>
      </w:r>
      <w:r w:rsidRPr="007C4B78">
        <w:rPr>
          <w:rFonts w:asciiTheme="majorHAnsi" w:eastAsia="Calibri" w:hAnsiTheme="majorHAnsi"/>
        </w:rPr>
        <w:t xml:space="preserve"> The same study indicated that demand for </w:t>
      </w:r>
      <w:r w:rsidR="00B955FC" w:rsidRPr="007C4B78">
        <w:rPr>
          <w:rFonts w:asciiTheme="majorHAnsi" w:eastAsia="Calibri" w:hAnsiTheme="majorHAnsi"/>
        </w:rPr>
        <w:t>guardian ad litem</w:t>
      </w:r>
      <w:r w:rsidRPr="007C4B78">
        <w:rPr>
          <w:rFonts w:asciiTheme="majorHAnsi" w:eastAsia="Calibri" w:hAnsiTheme="majorHAnsi"/>
        </w:rPr>
        <w:t xml:space="preserve"> services is far greater than the supply and availability of </w:t>
      </w:r>
      <w:proofErr w:type="gramStart"/>
      <w:r w:rsidR="00B955FC" w:rsidRPr="007C4B78">
        <w:rPr>
          <w:rFonts w:asciiTheme="majorHAnsi" w:eastAsia="Calibri" w:hAnsiTheme="majorHAnsi"/>
        </w:rPr>
        <w:t>guardians</w:t>
      </w:r>
      <w:proofErr w:type="gramEnd"/>
      <w:r w:rsidR="00B955FC" w:rsidRPr="007C4B78">
        <w:rPr>
          <w:rFonts w:asciiTheme="majorHAnsi" w:eastAsia="Calibri" w:hAnsiTheme="majorHAnsi"/>
        </w:rPr>
        <w:t xml:space="preserve"> ad litem</w:t>
      </w:r>
      <w:r w:rsidR="00ED6C88" w:rsidRPr="007C4B78">
        <w:rPr>
          <w:rFonts w:asciiTheme="majorHAnsi" w:eastAsia="Calibri" w:hAnsiTheme="majorHAnsi"/>
        </w:rPr>
        <w:t xml:space="preserve"> </w:t>
      </w:r>
      <w:r w:rsidR="003D732D" w:rsidRPr="007C4B78">
        <w:rPr>
          <w:rFonts w:asciiTheme="majorHAnsi" w:eastAsia="Calibri" w:hAnsiTheme="majorHAnsi"/>
        </w:rPr>
        <w:t>in Ireland</w:t>
      </w:r>
      <w:r w:rsidRPr="007C4B78">
        <w:rPr>
          <w:rFonts w:asciiTheme="majorHAnsi" w:eastAsia="Calibri" w:hAnsiTheme="majorHAnsi"/>
        </w:rPr>
        <w:t>.</w:t>
      </w:r>
      <w:r w:rsidRPr="007C4B78">
        <w:rPr>
          <w:rStyle w:val="FootnoteReference"/>
          <w:rFonts w:asciiTheme="majorHAnsi" w:eastAsia="Calibri" w:hAnsiTheme="majorHAnsi"/>
        </w:rPr>
        <w:footnoteReference w:id="141"/>
      </w:r>
    </w:p>
    <w:p w14:paraId="22554684" w14:textId="77777777" w:rsidR="00AC5E18" w:rsidRPr="007C4B78" w:rsidRDefault="00AC5E18" w:rsidP="004D12C3">
      <w:pPr>
        <w:jc w:val="both"/>
        <w:rPr>
          <w:rFonts w:asciiTheme="majorHAnsi" w:eastAsia="Calibri" w:hAnsiTheme="majorHAnsi"/>
        </w:rPr>
      </w:pPr>
    </w:p>
    <w:p w14:paraId="3C7EEC80" w14:textId="77777777" w:rsidR="00AC5E18" w:rsidRPr="007C4B78" w:rsidRDefault="00AC5E18" w:rsidP="004D12C3">
      <w:pPr>
        <w:spacing w:after="120"/>
        <w:jc w:val="both"/>
        <w:rPr>
          <w:rFonts w:asciiTheme="majorHAnsi" w:eastAsia="Calibri" w:hAnsiTheme="majorHAnsi"/>
        </w:rPr>
      </w:pPr>
      <w:r w:rsidRPr="007C4B78">
        <w:rPr>
          <w:rFonts w:asciiTheme="majorHAnsi" w:eastAsia="Calibri" w:hAnsiTheme="majorHAnsi"/>
        </w:rPr>
        <w:t xml:space="preserve">Some reports have indicated that there is a general shortage of </w:t>
      </w:r>
      <w:proofErr w:type="gramStart"/>
      <w:r w:rsidR="00B955FC" w:rsidRPr="007C4B78">
        <w:rPr>
          <w:rFonts w:asciiTheme="majorHAnsi" w:eastAsia="Calibri" w:hAnsiTheme="majorHAnsi"/>
        </w:rPr>
        <w:t>guardians</w:t>
      </w:r>
      <w:proofErr w:type="gramEnd"/>
      <w:r w:rsidR="00B955FC" w:rsidRPr="007C4B78">
        <w:rPr>
          <w:rFonts w:asciiTheme="majorHAnsi" w:eastAsia="Calibri" w:hAnsiTheme="majorHAnsi"/>
        </w:rPr>
        <w:t xml:space="preserve"> ad litem</w:t>
      </w:r>
      <w:r w:rsidRPr="007C4B78">
        <w:rPr>
          <w:rFonts w:asciiTheme="majorHAnsi" w:eastAsia="Calibri" w:hAnsiTheme="majorHAnsi"/>
        </w:rPr>
        <w:t xml:space="preserve"> and that there is little data gathering </w:t>
      </w:r>
      <w:r w:rsidR="00926D40" w:rsidRPr="007C4B78">
        <w:rPr>
          <w:rFonts w:asciiTheme="majorHAnsi" w:eastAsia="Calibri" w:hAnsiTheme="majorHAnsi"/>
        </w:rPr>
        <w:t>on</w:t>
      </w:r>
      <w:r w:rsidRPr="007C4B78">
        <w:rPr>
          <w:rFonts w:asciiTheme="majorHAnsi" w:eastAsia="Calibri" w:hAnsiTheme="majorHAnsi"/>
        </w:rPr>
        <w:t xml:space="preserve"> their use.</w:t>
      </w:r>
      <w:r w:rsidRPr="007C4B78">
        <w:rPr>
          <w:rStyle w:val="FootnoteReference"/>
          <w:rFonts w:asciiTheme="majorHAnsi" w:eastAsia="Calibri" w:hAnsiTheme="majorHAnsi"/>
        </w:rPr>
        <w:footnoteReference w:id="142"/>
      </w:r>
      <w:r w:rsidRPr="007C4B78">
        <w:rPr>
          <w:rFonts w:asciiTheme="majorHAnsi" w:eastAsia="Calibri" w:hAnsiTheme="majorHAnsi"/>
        </w:rPr>
        <w:t xml:space="preserve"> In 2006 the UN Committee on the Rights of the Child (‘CRC Committee’) issued its concluding observations on the state report submitted to it by Ireland. The CRC Committee expressed concern at the lack of sufficient provision for </w:t>
      </w:r>
      <w:proofErr w:type="gramStart"/>
      <w:r w:rsidR="00B955FC" w:rsidRPr="007C4B78">
        <w:rPr>
          <w:rFonts w:asciiTheme="majorHAnsi" w:eastAsia="Calibri" w:hAnsiTheme="majorHAnsi"/>
        </w:rPr>
        <w:t>guardians</w:t>
      </w:r>
      <w:proofErr w:type="gramEnd"/>
      <w:r w:rsidR="00B955FC" w:rsidRPr="007C4B78">
        <w:rPr>
          <w:rFonts w:asciiTheme="majorHAnsi" w:eastAsia="Calibri" w:hAnsiTheme="majorHAnsi"/>
        </w:rPr>
        <w:t xml:space="preserve"> ad litem</w:t>
      </w:r>
      <w:r w:rsidR="00ED6C88" w:rsidRPr="007C4B78">
        <w:rPr>
          <w:rFonts w:asciiTheme="majorHAnsi" w:eastAsia="Calibri" w:hAnsiTheme="majorHAnsi"/>
        </w:rPr>
        <w:t xml:space="preserve"> </w:t>
      </w:r>
      <w:r w:rsidRPr="007C4B78">
        <w:rPr>
          <w:rFonts w:asciiTheme="majorHAnsi" w:eastAsia="Calibri" w:hAnsiTheme="majorHAnsi"/>
        </w:rPr>
        <w:t xml:space="preserve">across all types of proceedings, and </w:t>
      </w:r>
      <w:r w:rsidR="00330556" w:rsidRPr="007C4B78">
        <w:rPr>
          <w:rFonts w:asciiTheme="majorHAnsi" w:eastAsia="Calibri" w:hAnsiTheme="majorHAnsi"/>
        </w:rPr>
        <w:t xml:space="preserve">recommended </w:t>
      </w:r>
      <w:r w:rsidRPr="007C4B78">
        <w:rPr>
          <w:rFonts w:asciiTheme="majorHAnsi" w:eastAsia="Calibri" w:hAnsiTheme="majorHAnsi"/>
        </w:rPr>
        <w:t xml:space="preserve">that children are provided </w:t>
      </w:r>
      <w:r w:rsidRPr="007C4B78">
        <w:rPr>
          <w:rFonts w:asciiTheme="majorHAnsi" w:eastAsia="Calibri" w:hAnsiTheme="majorHAnsi"/>
        </w:rPr>
        <w:lastRenderedPageBreak/>
        <w:t>with the opportunity to be heard in any judicial and administrative proceedings affecting them, and that due weight is given to those views in accordance with the age and maturity of the child.</w:t>
      </w:r>
      <w:r w:rsidRPr="007C4B78">
        <w:rPr>
          <w:rStyle w:val="FootnoteReference"/>
          <w:rFonts w:asciiTheme="majorHAnsi" w:eastAsia="Calibri" w:hAnsiTheme="majorHAnsi"/>
        </w:rPr>
        <w:footnoteReference w:id="143"/>
      </w:r>
    </w:p>
    <w:p w14:paraId="6C43CD54" w14:textId="77777777" w:rsidR="00AC5E18" w:rsidRPr="007C4B78" w:rsidRDefault="00AC5E18" w:rsidP="004D12C3">
      <w:pPr>
        <w:jc w:val="both"/>
        <w:rPr>
          <w:rFonts w:asciiTheme="majorHAnsi" w:eastAsia="Calibri" w:hAnsiTheme="majorHAnsi"/>
        </w:rPr>
      </w:pPr>
    </w:p>
    <w:p w14:paraId="0028FFC3" w14:textId="77777777" w:rsidR="00AC5E18" w:rsidRPr="007C4B78" w:rsidRDefault="00330556" w:rsidP="004D12C3">
      <w:pPr>
        <w:jc w:val="both"/>
        <w:rPr>
          <w:rFonts w:asciiTheme="majorHAnsi" w:eastAsia="Calibri" w:hAnsiTheme="majorHAnsi"/>
        </w:rPr>
      </w:pPr>
      <w:r w:rsidRPr="007C4B78">
        <w:rPr>
          <w:rFonts w:asciiTheme="majorHAnsi" w:eastAsia="Calibri" w:hAnsiTheme="majorHAnsi"/>
        </w:rPr>
        <w:t>The interim report of the Child Care Law reporting Project</w:t>
      </w:r>
      <w:r w:rsidR="00AC5E18" w:rsidRPr="007C4B78">
        <w:rPr>
          <w:rFonts w:asciiTheme="majorHAnsi" w:eastAsia="Calibri" w:hAnsiTheme="majorHAnsi"/>
        </w:rPr>
        <w:t xml:space="preserve"> highlighted the fact that the </w:t>
      </w:r>
      <w:r w:rsidRPr="007C4B78">
        <w:rPr>
          <w:rFonts w:asciiTheme="majorHAnsi" w:eastAsia="Calibri" w:hAnsiTheme="majorHAnsi"/>
        </w:rPr>
        <w:t>guardian ad litem’s</w:t>
      </w:r>
      <w:r w:rsidR="00ED6C88" w:rsidRPr="007C4B78">
        <w:rPr>
          <w:rFonts w:asciiTheme="majorHAnsi" w:eastAsia="Calibri" w:hAnsiTheme="majorHAnsi"/>
        </w:rPr>
        <w:t xml:space="preserve"> </w:t>
      </w:r>
      <w:r w:rsidR="00AC5E18" w:rsidRPr="007C4B78">
        <w:rPr>
          <w:rFonts w:asciiTheme="majorHAnsi" w:eastAsia="Calibri" w:hAnsiTheme="majorHAnsi"/>
        </w:rPr>
        <w:t>report often support</w:t>
      </w:r>
      <w:r w:rsidRPr="007C4B78">
        <w:rPr>
          <w:rFonts w:asciiTheme="majorHAnsi" w:eastAsia="Calibri" w:hAnsiTheme="majorHAnsi"/>
        </w:rPr>
        <w:t>s</w:t>
      </w:r>
      <w:r w:rsidR="00AC5E18" w:rsidRPr="007C4B78">
        <w:rPr>
          <w:rFonts w:asciiTheme="majorHAnsi" w:eastAsia="Calibri" w:hAnsiTheme="majorHAnsi"/>
        </w:rPr>
        <w:t xml:space="preserve"> the position of the HSE (the party seeking the care order)</w:t>
      </w:r>
      <w:r w:rsidRPr="007C4B78">
        <w:rPr>
          <w:rFonts w:asciiTheme="majorHAnsi" w:eastAsia="Calibri" w:hAnsiTheme="majorHAnsi"/>
        </w:rPr>
        <w:t xml:space="preserve"> in care proceedings.</w:t>
      </w:r>
      <w:r w:rsidR="00AC5E18" w:rsidRPr="007C4B78">
        <w:rPr>
          <w:rStyle w:val="FootnoteReference"/>
          <w:rFonts w:asciiTheme="majorHAnsi" w:eastAsia="Calibri" w:hAnsiTheme="majorHAnsi"/>
        </w:rPr>
        <w:footnoteReference w:id="144"/>
      </w:r>
      <w:r w:rsidRPr="007C4B78">
        <w:rPr>
          <w:rFonts w:asciiTheme="majorHAnsi" w:eastAsia="Calibri" w:hAnsiTheme="majorHAnsi"/>
        </w:rPr>
        <w:t xml:space="preserve"> This view </w:t>
      </w:r>
      <w:r w:rsidR="00AC5E18" w:rsidRPr="007C4B78">
        <w:rPr>
          <w:rFonts w:asciiTheme="majorHAnsi" w:eastAsia="Calibri" w:hAnsiTheme="majorHAnsi"/>
        </w:rPr>
        <w:t>was confirmed by one of the barristers interviewed</w:t>
      </w:r>
      <w:r w:rsidRPr="007C4B78">
        <w:rPr>
          <w:rFonts w:asciiTheme="majorHAnsi" w:eastAsia="Calibri" w:hAnsiTheme="majorHAnsi"/>
        </w:rPr>
        <w:t xml:space="preserve"> for this project</w:t>
      </w:r>
      <w:r w:rsidR="00AC5E18" w:rsidRPr="007C4B78">
        <w:rPr>
          <w:rFonts w:asciiTheme="majorHAnsi" w:eastAsia="Calibri" w:hAnsiTheme="majorHAnsi"/>
        </w:rPr>
        <w:t>.</w:t>
      </w:r>
      <w:r w:rsidR="00AC5E18" w:rsidRPr="007C4B78">
        <w:rPr>
          <w:rStyle w:val="FootnoteReference"/>
          <w:rFonts w:asciiTheme="majorHAnsi" w:eastAsia="Calibri" w:hAnsiTheme="majorHAnsi"/>
        </w:rPr>
        <w:footnoteReference w:id="145"/>
      </w:r>
      <w:r w:rsidR="00AC5E18" w:rsidRPr="007C4B78">
        <w:rPr>
          <w:rFonts w:asciiTheme="majorHAnsi" w:eastAsia="Calibri" w:hAnsiTheme="majorHAnsi"/>
        </w:rPr>
        <w:t xml:space="preserve">One article highlighted that appointment of </w:t>
      </w:r>
      <w:proofErr w:type="gramStart"/>
      <w:r w:rsidR="00B955FC" w:rsidRPr="007C4B78">
        <w:rPr>
          <w:rFonts w:asciiTheme="majorHAnsi" w:eastAsia="Calibri" w:hAnsiTheme="majorHAnsi"/>
        </w:rPr>
        <w:t>guardians</w:t>
      </w:r>
      <w:proofErr w:type="gramEnd"/>
      <w:r w:rsidR="00B955FC" w:rsidRPr="007C4B78">
        <w:rPr>
          <w:rFonts w:asciiTheme="majorHAnsi" w:eastAsia="Calibri" w:hAnsiTheme="majorHAnsi"/>
        </w:rPr>
        <w:t xml:space="preserve"> ad litem</w:t>
      </w:r>
      <w:r w:rsidR="00ED6C88" w:rsidRPr="007C4B78">
        <w:rPr>
          <w:rFonts w:asciiTheme="majorHAnsi" w:eastAsia="Calibri" w:hAnsiTheme="majorHAnsi"/>
        </w:rPr>
        <w:t xml:space="preserve"> </w:t>
      </w:r>
      <w:r w:rsidR="00AC5E18" w:rsidRPr="007C4B78">
        <w:rPr>
          <w:rFonts w:asciiTheme="majorHAnsi" w:eastAsia="Calibri" w:hAnsiTheme="majorHAnsi"/>
        </w:rPr>
        <w:t xml:space="preserve">occur in an “ad hoc manner” and that the HSE has recommended specific </w:t>
      </w:r>
      <w:r w:rsidR="00B955FC" w:rsidRPr="007C4B78">
        <w:rPr>
          <w:rFonts w:asciiTheme="majorHAnsi" w:eastAsia="Calibri" w:hAnsiTheme="majorHAnsi"/>
        </w:rPr>
        <w:t>Guardians ad litem</w:t>
      </w:r>
      <w:r w:rsidR="00AC5E18" w:rsidRPr="007C4B78">
        <w:rPr>
          <w:rFonts w:asciiTheme="majorHAnsi" w:eastAsia="Calibri" w:hAnsiTheme="majorHAnsi"/>
        </w:rPr>
        <w:t xml:space="preserve"> to the court.</w:t>
      </w:r>
      <w:r w:rsidR="00AC5E18" w:rsidRPr="007C4B78">
        <w:rPr>
          <w:rStyle w:val="FootnoteReference"/>
          <w:rFonts w:asciiTheme="majorHAnsi" w:eastAsia="Calibri" w:hAnsiTheme="majorHAnsi"/>
        </w:rPr>
        <w:footnoteReference w:id="146"/>
      </w:r>
    </w:p>
    <w:p w14:paraId="3FE89336" w14:textId="77777777" w:rsidR="00AC5E18" w:rsidRPr="007C4B78" w:rsidRDefault="00AC5E18" w:rsidP="004D12C3">
      <w:pPr>
        <w:jc w:val="both"/>
        <w:rPr>
          <w:rFonts w:asciiTheme="majorHAnsi" w:eastAsia="Calibri" w:hAnsiTheme="majorHAnsi"/>
        </w:rPr>
      </w:pPr>
    </w:p>
    <w:p w14:paraId="5864615F" w14:textId="77777777" w:rsidR="00AC5E18" w:rsidRPr="007C4B78" w:rsidRDefault="00464197" w:rsidP="004D12C3">
      <w:pPr>
        <w:jc w:val="both"/>
        <w:rPr>
          <w:rFonts w:asciiTheme="majorHAnsi" w:eastAsia="Calibri" w:hAnsiTheme="majorHAnsi"/>
        </w:rPr>
      </w:pPr>
      <w:r w:rsidRPr="007C4B78">
        <w:rPr>
          <w:rFonts w:asciiTheme="majorHAnsi" w:eastAsia="Calibri" w:hAnsiTheme="majorHAnsi"/>
        </w:rPr>
        <w:t>T</w:t>
      </w:r>
      <w:r w:rsidR="00AC5E18" w:rsidRPr="007C4B78">
        <w:rPr>
          <w:rFonts w:asciiTheme="majorHAnsi" w:eastAsia="Calibri" w:hAnsiTheme="majorHAnsi"/>
        </w:rPr>
        <w:t>he Child Care Law Project</w:t>
      </w:r>
      <w:r w:rsidRPr="007C4B78">
        <w:rPr>
          <w:rFonts w:asciiTheme="majorHAnsi" w:eastAsia="Calibri" w:hAnsiTheme="majorHAnsi"/>
        </w:rPr>
        <w:t xml:space="preserve"> reports</w:t>
      </w:r>
      <w:r w:rsidR="00AC5E18" w:rsidRPr="007C4B78">
        <w:rPr>
          <w:rFonts w:asciiTheme="majorHAnsi" w:eastAsia="Calibri" w:hAnsiTheme="majorHAnsi"/>
        </w:rPr>
        <w:t xml:space="preserve"> found that</w:t>
      </w:r>
      <w:r w:rsidRPr="007C4B78">
        <w:rPr>
          <w:rFonts w:asciiTheme="majorHAnsi" w:eastAsia="Calibri" w:hAnsiTheme="majorHAnsi"/>
        </w:rPr>
        <w:t xml:space="preserve"> the court appointed</w:t>
      </w:r>
      <w:r w:rsidR="00ED6C88" w:rsidRPr="007C4B78">
        <w:rPr>
          <w:rFonts w:asciiTheme="majorHAnsi" w:eastAsia="Calibri" w:hAnsiTheme="majorHAnsi"/>
        </w:rPr>
        <w:t xml:space="preserve"> </w:t>
      </w:r>
      <w:r w:rsidR="00B955FC" w:rsidRPr="007C4B78">
        <w:rPr>
          <w:rFonts w:asciiTheme="majorHAnsi" w:eastAsia="Calibri" w:hAnsiTheme="majorHAnsi"/>
        </w:rPr>
        <w:t>guardians ad litem</w:t>
      </w:r>
      <w:r w:rsidR="00AC5E18" w:rsidRPr="007C4B78">
        <w:rPr>
          <w:rFonts w:asciiTheme="majorHAnsi" w:eastAsia="Calibri" w:hAnsiTheme="majorHAnsi"/>
        </w:rPr>
        <w:t xml:space="preserve"> around 50 percent of the cases (representing 70 percent of children whose cases were surveyed).</w:t>
      </w:r>
      <w:r w:rsidR="00AC5E18" w:rsidRPr="007C4B78">
        <w:rPr>
          <w:rStyle w:val="FootnoteReference"/>
          <w:rFonts w:asciiTheme="majorHAnsi" w:eastAsia="Calibri" w:hAnsiTheme="majorHAnsi"/>
        </w:rPr>
        <w:footnoteReference w:id="147"/>
      </w:r>
      <w:r w:rsidR="00AC5E18" w:rsidRPr="007C4B78">
        <w:rPr>
          <w:rFonts w:asciiTheme="majorHAnsi" w:eastAsia="Calibri" w:hAnsiTheme="majorHAnsi"/>
        </w:rPr>
        <w:t xml:space="preserve"> The project report also noted that outside of major cities in Ireland use of </w:t>
      </w:r>
      <w:proofErr w:type="gramStart"/>
      <w:r w:rsidR="00B955FC" w:rsidRPr="007C4B78">
        <w:rPr>
          <w:rFonts w:asciiTheme="majorHAnsi" w:eastAsia="Calibri" w:hAnsiTheme="majorHAnsi"/>
        </w:rPr>
        <w:t>guardians</w:t>
      </w:r>
      <w:proofErr w:type="gramEnd"/>
      <w:r w:rsidR="00B955FC" w:rsidRPr="007C4B78">
        <w:rPr>
          <w:rFonts w:asciiTheme="majorHAnsi" w:eastAsia="Calibri" w:hAnsiTheme="majorHAnsi"/>
        </w:rPr>
        <w:t xml:space="preserve"> ad litem</w:t>
      </w:r>
      <w:r w:rsidR="00AC5E18" w:rsidRPr="007C4B78">
        <w:rPr>
          <w:rFonts w:asciiTheme="majorHAnsi" w:eastAsia="Calibri" w:hAnsiTheme="majorHAnsi"/>
        </w:rPr>
        <w:t xml:space="preserve"> was more sporadic and hardly used at all in rural areas.</w:t>
      </w:r>
      <w:r w:rsidR="00AC5E18" w:rsidRPr="007C4B78">
        <w:rPr>
          <w:rStyle w:val="FootnoteReference"/>
          <w:rFonts w:asciiTheme="majorHAnsi" w:eastAsia="Calibri" w:hAnsiTheme="majorHAnsi"/>
        </w:rPr>
        <w:footnoteReference w:id="148"/>
      </w:r>
      <w:r w:rsidR="0091155C" w:rsidRPr="007C4B78">
        <w:rPr>
          <w:rFonts w:asciiTheme="majorHAnsi" w:eastAsia="Calibri" w:hAnsiTheme="majorHAnsi"/>
        </w:rPr>
        <w:t xml:space="preserve">The </w:t>
      </w:r>
      <w:r w:rsidR="00AC5E18" w:rsidRPr="007C4B78">
        <w:rPr>
          <w:rFonts w:asciiTheme="majorHAnsi" w:eastAsia="Calibri" w:hAnsiTheme="majorHAnsi"/>
        </w:rPr>
        <w:t xml:space="preserve">Child Care Law Project also found that Barnardos was the employer of the </w:t>
      </w:r>
      <w:proofErr w:type="gramStart"/>
      <w:r w:rsidR="002B243C" w:rsidRPr="007C4B78">
        <w:rPr>
          <w:rFonts w:asciiTheme="majorHAnsi" w:eastAsia="Calibri" w:hAnsiTheme="majorHAnsi"/>
        </w:rPr>
        <w:t>guardian</w:t>
      </w:r>
      <w:r w:rsidR="0091155C" w:rsidRPr="007C4B78">
        <w:rPr>
          <w:rFonts w:asciiTheme="majorHAnsi" w:eastAsia="Calibri" w:hAnsiTheme="majorHAnsi"/>
        </w:rPr>
        <w:t>s</w:t>
      </w:r>
      <w:proofErr w:type="gramEnd"/>
      <w:r w:rsidR="002B243C" w:rsidRPr="007C4B78">
        <w:rPr>
          <w:rFonts w:asciiTheme="majorHAnsi" w:eastAsia="Calibri" w:hAnsiTheme="majorHAnsi"/>
        </w:rPr>
        <w:t xml:space="preserve"> ad litem</w:t>
      </w:r>
      <w:r w:rsidR="00AC5E18" w:rsidRPr="007C4B78">
        <w:rPr>
          <w:rFonts w:asciiTheme="majorHAnsi" w:eastAsia="Calibri" w:hAnsiTheme="majorHAnsi"/>
        </w:rPr>
        <w:t xml:space="preserve"> in 45 percent of </w:t>
      </w:r>
      <w:r w:rsidRPr="007C4B78">
        <w:rPr>
          <w:rFonts w:asciiTheme="majorHAnsi" w:eastAsia="Calibri" w:hAnsiTheme="majorHAnsi"/>
        </w:rPr>
        <w:t>234 cases</w:t>
      </w:r>
      <w:r w:rsidR="0091155C" w:rsidRPr="007C4B78">
        <w:rPr>
          <w:rFonts w:asciiTheme="majorHAnsi" w:eastAsia="Calibri" w:hAnsiTheme="majorHAnsi"/>
        </w:rPr>
        <w:t xml:space="preserve"> surveyed. A</w:t>
      </w:r>
      <w:r w:rsidR="00AC5E18" w:rsidRPr="007C4B78">
        <w:rPr>
          <w:rFonts w:asciiTheme="majorHAnsi" w:eastAsia="Calibri" w:hAnsiTheme="majorHAnsi"/>
        </w:rPr>
        <w:t xml:space="preserve"> regional analysis found that Barnardos supplied the </w:t>
      </w:r>
      <w:proofErr w:type="gramStart"/>
      <w:r w:rsidR="002B243C" w:rsidRPr="007C4B78">
        <w:rPr>
          <w:rFonts w:asciiTheme="majorHAnsi" w:eastAsia="Calibri" w:hAnsiTheme="majorHAnsi"/>
        </w:rPr>
        <w:t>guardian</w:t>
      </w:r>
      <w:r w:rsidR="0091155C" w:rsidRPr="007C4B78">
        <w:rPr>
          <w:rFonts w:asciiTheme="majorHAnsi" w:eastAsia="Calibri" w:hAnsiTheme="majorHAnsi"/>
        </w:rPr>
        <w:t>s</w:t>
      </w:r>
      <w:proofErr w:type="gramEnd"/>
      <w:r w:rsidR="002B243C" w:rsidRPr="007C4B78">
        <w:rPr>
          <w:rFonts w:asciiTheme="majorHAnsi" w:eastAsia="Calibri" w:hAnsiTheme="majorHAnsi"/>
        </w:rPr>
        <w:t xml:space="preserve"> ad litem</w:t>
      </w:r>
      <w:r w:rsidR="00AC5E18" w:rsidRPr="007C4B78">
        <w:rPr>
          <w:rFonts w:asciiTheme="majorHAnsi" w:eastAsia="Calibri" w:hAnsiTheme="majorHAnsi"/>
        </w:rPr>
        <w:t xml:space="preserve"> in the majority of cases in Cork and Dublin</w:t>
      </w:r>
      <w:r w:rsidR="0091155C" w:rsidRPr="007C4B78">
        <w:rPr>
          <w:rFonts w:asciiTheme="majorHAnsi" w:eastAsia="Calibri" w:hAnsiTheme="majorHAnsi"/>
        </w:rPr>
        <w:t>,</w:t>
      </w:r>
      <w:r w:rsidR="00AC5E18" w:rsidRPr="007C4B78">
        <w:rPr>
          <w:rFonts w:asciiTheme="majorHAnsi" w:eastAsia="Calibri" w:hAnsiTheme="majorHAnsi"/>
        </w:rPr>
        <w:t xml:space="preserve"> but in the rest of Ireland there were a higher percentage of independent </w:t>
      </w:r>
      <w:r w:rsidR="002B243C" w:rsidRPr="007C4B78">
        <w:rPr>
          <w:rFonts w:asciiTheme="majorHAnsi" w:eastAsia="Calibri" w:hAnsiTheme="majorHAnsi"/>
        </w:rPr>
        <w:t>g</w:t>
      </w:r>
      <w:r w:rsidR="00B955FC" w:rsidRPr="007C4B78">
        <w:rPr>
          <w:rFonts w:asciiTheme="majorHAnsi" w:eastAsia="Calibri" w:hAnsiTheme="majorHAnsi"/>
        </w:rPr>
        <w:t>uardians ad litem</w:t>
      </w:r>
      <w:r w:rsidR="00AC5E18" w:rsidRPr="007C4B78">
        <w:rPr>
          <w:rFonts w:asciiTheme="majorHAnsi" w:eastAsia="Calibri" w:hAnsiTheme="majorHAnsi"/>
        </w:rPr>
        <w:t>.</w:t>
      </w:r>
      <w:r w:rsidR="00AC5E18" w:rsidRPr="007C4B78">
        <w:rPr>
          <w:rStyle w:val="FootnoteReference"/>
          <w:rFonts w:asciiTheme="majorHAnsi" w:eastAsia="Calibri" w:hAnsiTheme="majorHAnsi"/>
        </w:rPr>
        <w:footnoteReference w:id="149"/>
      </w:r>
      <w:r w:rsidR="00AC5E18" w:rsidRPr="007C4B78">
        <w:rPr>
          <w:rFonts w:asciiTheme="majorHAnsi" w:eastAsia="Calibri" w:hAnsiTheme="majorHAnsi"/>
        </w:rPr>
        <w:t xml:space="preserve"> One barrister</w:t>
      </w:r>
      <w:r w:rsidR="0091155C" w:rsidRPr="007C4B78">
        <w:rPr>
          <w:rFonts w:asciiTheme="majorHAnsi" w:eastAsia="Calibri" w:hAnsiTheme="majorHAnsi"/>
        </w:rPr>
        <w:t xml:space="preserve"> interviewed for this project</w:t>
      </w:r>
      <w:r w:rsidR="00AC5E18" w:rsidRPr="007C4B78">
        <w:rPr>
          <w:rFonts w:asciiTheme="majorHAnsi" w:eastAsia="Calibri" w:hAnsiTheme="majorHAnsi"/>
        </w:rPr>
        <w:t xml:space="preserve"> said that there has been some </w:t>
      </w:r>
      <w:r w:rsidR="0091155C" w:rsidRPr="007C4B78">
        <w:rPr>
          <w:rFonts w:asciiTheme="majorHAnsi" w:eastAsia="Calibri" w:hAnsiTheme="majorHAnsi"/>
        </w:rPr>
        <w:t>recent reluctance in</w:t>
      </w:r>
      <w:r w:rsidR="00B955FC" w:rsidRPr="007C4B78">
        <w:rPr>
          <w:rFonts w:asciiTheme="majorHAnsi" w:eastAsia="Calibri" w:hAnsiTheme="majorHAnsi"/>
        </w:rPr>
        <w:t xml:space="preserve"> Dublin courts </w:t>
      </w:r>
      <w:r w:rsidR="0091155C" w:rsidRPr="007C4B78">
        <w:rPr>
          <w:rFonts w:asciiTheme="majorHAnsi" w:eastAsia="Calibri" w:hAnsiTheme="majorHAnsi"/>
        </w:rPr>
        <w:t>to appoint</w:t>
      </w:r>
      <w:r w:rsidR="00B955FC" w:rsidRPr="007C4B78">
        <w:rPr>
          <w:rFonts w:asciiTheme="majorHAnsi" w:eastAsia="Calibri" w:hAnsiTheme="majorHAnsi"/>
        </w:rPr>
        <w:t xml:space="preserve"> guardians ad litem</w:t>
      </w:r>
      <w:r w:rsidR="00AC5E18" w:rsidRPr="007C4B78">
        <w:rPr>
          <w:rFonts w:asciiTheme="majorHAnsi" w:eastAsia="Calibri" w:hAnsiTheme="majorHAnsi"/>
        </w:rPr>
        <w:t xml:space="preserve"> in part because of the lack of regulation surrounding their qualifications.</w:t>
      </w:r>
      <w:r w:rsidR="00AC5E18" w:rsidRPr="007C4B78">
        <w:rPr>
          <w:rStyle w:val="FootnoteReference"/>
          <w:rFonts w:asciiTheme="majorHAnsi" w:eastAsia="Calibri" w:hAnsiTheme="majorHAnsi"/>
        </w:rPr>
        <w:footnoteReference w:id="150"/>
      </w:r>
    </w:p>
    <w:p w14:paraId="1DF8712D" w14:textId="77777777" w:rsidR="00AC5E18" w:rsidRPr="007C4B78" w:rsidRDefault="00AC5E18" w:rsidP="004D12C3">
      <w:pPr>
        <w:jc w:val="both"/>
        <w:rPr>
          <w:rFonts w:asciiTheme="majorHAnsi" w:eastAsia="Calibri" w:hAnsiTheme="majorHAnsi"/>
        </w:rPr>
      </w:pPr>
    </w:p>
    <w:p w14:paraId="5F1A81E5" w14:textId="77777777" w:rsidR="00AC5E18" w:rsidRPr="007C4B78" w:rsidRDefault="00330556" w:rsidP="004D12C3">
      <w:pPr>
        <w:jc w:val="both"/>
        <w:rPr>
          <w:rFonts w:asciiTheme="majorHAnsi" w:eastAsia="Calibri" w:hAnsiTheme="majorHAnsi"/>
        </w:rPr>
      </w:pPr>
      <w:r w:rsidRPr="007C4B78">
        <w:rPr>
          <w:rFonts w:asciiTheme="majorHAnsi" w:eastAsia="Calibri" w:hAnsiTheme="majorHAnsi"/>
        </w:rPr>
        <w:t xml:space="preserve">Limited research is available on children’s knowledge or information about the guardian ad litem role in Ireland. However, one report </w:t>
      </w:r>
      <w:r w:rsidR="00AC5E18" w:rsidRPr="007C4B78">
        <w:rPr>
          <w:rFonts w:asciiTheme="majorHAnsi" w:eastAsia="Calibri" w:hAnsiTheme="majorHAnsi"/>
        </w:rPr>
        <w:t xml:space="preserve">found that there </w:t>
      </w:r>
      <w:proofErr w:type="gramStart"/>
      <w:r w:rsidR="00AC5E18" w:rsidRPr="007C4B78">
        <w:rPr>
          <w:rFonts w:asciiTheme="majorHAnsi" w:eastAsia="Calibri" w:hAnsiTheme="majorHAnsi"/>
        </w:rPr>
        <w:t>are</w:t>
      </w:r>
      <w:proofErr w:type="gramEnd"/>
      <w:r w:rsidR="00AC5E18" w:rsidRPr="007C4B78">
        <w:rPr>
          <w:rFonts w:asciiTheme="majorHAnsi" w:eastAsia="Calibri" w:hAnsiTheme="majorHAnsi"/>
        </w:rPr>
        <w:t xml:space="preserve"> differences in</w:t>
      </w:r>
      <w:r w:rsidRPr="007C4B78">
        <w:rPr>
          <w:rFonts w:asciiTheme="majorHAnsi" w:eastAsia="Calibri" w:hAnsiTheme="majorHAnsi"/>
        </w:rPr>
        <w:t xml:space="preserve"> the</w:t>
      </w:r>
      <w:r w:rsidR="00AC5E18" w:rsidRPr="007C4B78">
        <w:rPr>
          <w:rFonts w:asciiTheme="majorHAnsi" w:eastAsia="Calibri" w:hAnsiTheme="majorHAnsi"/>
        </w:rPr>
        <w:t xml:space="preserve"> levels of information provided to children</w:t>
      </w:r>
      <w:r w:rsidRPr="007C4B78">
        <w:rPr>
          <w:rFonts w:asciiTheme="majorHAnsi" w:eastAsia="Calibri" w:hAnsiTheme="majorHAnsi"/>
        </w:rPr>
        <w:t>,</w:t>
      </w:r>
      <w:r w:rsidR="00AC5E18" w:rsidRPr="007C4B78">
        <w:rPr>
          <w:rFonts w:asciiTheme="majorHAnsi" w:eastAsia="Calibri" w:hAnsiTheme="majorHAnsi"/>
        </w:rPr>
        <w:t xml:space="preserve"> but that most children felt the guardian ad litem did his/her best for them and listened to them.</w:t>
      </w:r>
      <w:r w:rsidR="00AC5E18" w:rsidRPr="007C4B78">
        <w:rPr>
          <w:rStyle w:val="FootnoteReference"/>
          <w:rFonts w:asciiTheme="majorHAnsi" w:eastAsia="Calibri" w:hAnsiTheme="majorHAnsi"/>
        </w:rPr>
        <w:footnoteReference w:id="151"/>
      </w:r>
    </w:p>
    <w:p w14:paraId="16F61106" w14:textId="77777777" w:rsidR="00330556" w:rsidRPr="007C4B78" w:rsidRDefault="00330556" w:rsidP="004D12C3">
      <w:pPr>
        <w:jc w:val="both"/>
        <w:rPr>
          <w:rFonts w:asciiTheme="majorHAnsi" w:eastAsia="Calibri" w:hAnsiTheme="majorHAnsi"/>
        </w:rPr>
      </w:pPr>
    </w:p>
    <w:p w14:paraId="78F7DD0E" w14:textId="77777777" w:rsidR="00063DB1" w:rsidRPr="007C4B78" w:rsidRDefault="00AC5E18" w:rsidP="004D12C3">
      <w:pPr>
        <w:jc w:val="both"/>
        <w:rPr>
          <w:rFonts w:asciiTheme="majorHAnsi" w:eastAsia="Calibri" w:hAnsiTheme="majorHAnsi"/>
        </w:rPr>
      </w:pPr>
      <w:r w:rsidRPr="007C4B78">
        <w:rPr>
          <w:rFonts w:asciiTheme="majorHAnsi" w:eastAsia="Calibri" w:hAnsiTheme="majorHAnsi"/>
        </w:rPr>
        <w:t>In discussing</w:t>
      </w:r>
      <w:r w:rsidR="00330556" w:rsidRPr="007C4B78">
        <w:rPr>
          <w:rFonts w:asciiTheme="majorHAnsi" w:eastAsia="Calibri" w:hAnsiTheme="majorHAnsi"/>
        </w:rPr>
        <w:t xml:space="preserve"> the</w:t>
      </w:r>
      <w:r w:rsidR="002B243C" w:rsidRPr="007C4B78">
        <w:rPr>
          <w:rFonts w:asciiTheme="majorHAnsi" w:eastAsia="Calibri" w:hAnsiTheme="majorHAnsi"/>
        </w:rPr>
        <w:t xml:space="preserve"> reform and regulation of the guardian ad l</w:t>
      </w:r>
      <w:r w:rsidRPr="007C4B78">
        <w:rPr>
          <w:rFonts w:asciiTheme="majorHAnsi" w:eastAsia="Calibri" w:hAnsiTheme="majorHAnsi"/>
        </w:rPr>
        <w:t>item service</w:t>
      </w:r>
      <w:r w:rsidR="00330556" w:rsidRPr="007C4B78">
        <w:rPr>
          <w:rFonts w:asciiTheme="majorHAnsi" w:eastAsia="Calibri" w:hAnsiTheme="majorHAnsi"/>
        </w:rPr>
        <w:t xml:space="preserve"> in Ireland</w:t>
      </w:r>
      <w:r w:rsidRPr="007C4B78">
        <w:rPr>
          <w:rFonts w:asciiTheme="majorHAnsi" w:eastAsia="Calibri" w:hAnsiTheme="majorHAnsi"/>
        </w:rPr>
        <w:t xml:space="preserve"> one interviewee</w:t>
      </w:r>
      <w:r w:rsidR="00330556" w:rsidRPr="007C4B78">
        <w:rPr>
          <w:rFonts w:asciiTheme="majorHAnsi" w:eastAsia="Calibri" w:hAnsiTheme="majorHAnsi"/>
        </w:rPr>
        <w:t xml:space="preserve"> for this project</w:t>
      </w:r>
      <w:r w:rsidRPr="007C4B78">
        <w:rPr>
          <w:rFonts w:asciiTheme="majorHAnsi" w:eastAsia="Calibri" w:hAnsiTheme="majorHAnsi"/>
        </w:rPr>
        <w:t xml:space="preserve"> said such reform is needed but that the reform and policy discussions </w:t>
      </w:r>
      <w:r w:rsidR="00330556" w:rsidRPr="007C4B78">
        <w:rPr>
          <w:rFonts w:asciiTheme="majorHAnsi" w:eastAsia="Calibri" w:hAnsiTheme="majorHAnsi"/>
        </w:rPr>
        <w:t xml:space="preserve">tend to focus on cost </w:t>
      </w:r>
      <w:r w:rsidRPr="007C4B78">
        <w:rPr>
          <w:rFonts w:asciiTheme="majorHAnsi" w:eastAsia="Calibri" w:hAnsiTheme="majorHAnsi"/>
        </w:rPr>
        <w:t>rather than on improving access to justice for children</w:t>
      </w:r>
      <w:r w:rsidR="00330556" w:rsidRPr="007C4B78">
        <w:rPr>
          <w:rFonts w:asciiTheme="majorHAnsi" w:eastAsia="Calibri" w:hAnsiTheme="majorHAnsi"/>
        </w:rPr>
        <w:t>, including children with cognitive disabilities</w:t>
      </w:r>
      <w:r w:rsidRPr="007C4B78">
        <w:rPr>
          <w:rFonts w:asciiTheme="majorHAnsi" w:eastAsia="Calibri" w:hAnsiTheme="majorHAnsi"/>
        </w:rPr>
        <w:t>.</w:t>
      </w:r>
      <w:r w:rsidRPr="007C4B78">
        <w:rPr>
          <w:rStyle w:val="FootnoteReference"/>
          <w:rFonts w:asciiTheme="majorHAnsi" w:eastAsia="Calibri" w:hAnsiTheme="majorHAnsi"/>
        </w:rPr>
        <w:footnoteReference w:id="152"/>
      </w:r>
    </w:p>
    <w:p w14:paraId="57E86609" w14:textId="77777777" w:rsidR="00063DB1" w:rsidRPr="007C4B78" w:rsidRDefault="00063DB1" w:rsidP="004D12C3">
      <w:pPr>
        <w:pStyle w:val="Heading4"/>
        <w:jc w:val="both"/>
      </w:pPr>
      <w:r w:rsidRPr="007C4B78">
        <w:t>Barriers</w:t>
      </w:r>
      <w:r w:rsidR="002140DD" w:rsidRPr="007C4B78">
        <w:t xml:space="preserve"> and Experiences of Children in Care</w:t>
      </w:r>
    </w:p>
    <w:p w14:paraId="099F3C2B" w14:textId="77777777" w:rsidR="00C1634F" w:rsidRPr="007C4B78" w:rsidRDefault="009B5A05" w:rsidP="004D12C3">
      <w:pPr>
        <w:jc w:val="both"/>
        <w:rPr>
          <w:rFonts w:asciiTheme="majorHAnsi" w:eastAsia="Calibri" w:hAnsiTheme="majorHAnsi"/>
        </w:rPr>
      </w:pPr>
      <w:r w:rsidRPr="007C4B78">
        <w:rPr>
          <w:rFonts w:asciiTheme="majorHAnsi" w:eastAsia="Calibri" w:hAnsiTheme="majorHAnsi"/>
        </w:rPr>
        <w:t>In researching this report, we found</w:t>
      </w:r>
      <w:r w:rsidR="00C1634F" w:rsidRPr="007C4B78">
        <w:rPr>
          <w:rFonts w:asciiTheme="majorHAnsi" w:eastAsia="Calibri" w:hAnsiTheme="majorHAnsi"/>
        </w:rPr>
        <w:t xml:space="preserve"> little information on how the voice</w:t>
      </w:r>
      <w:r w:rsidRPr="007C4B78">
        <w:rPr>
          <w:rFonts w:asciiTheme="majorHAnsi" w:eastAsia="Calibri" w:hAnsiTheme="majorHAnsi"/>
        </w:rPr>
        <w:t>s</w:t>
      </w:r>
      <w:r w:rsidR="00C1634F" w:rsidRPr="007C4B78">
        <w:rPr>
          <w:rFonts w:asciiTheme="majorHAnsi" w:eastAsia="Calibri" w:hAnsiTheme="majorHAnsi"/>
        </w:rPr>
        <w:t xml:space="preserve"> of children, especially children with cognitive disabilities are heard in care proceedings. Voluntary care </w:t>
      </w:r>
      <w:r w:rsidR="00540BF1" w:rsidRPr="007C4B78">
        <w:rPr>
          <w:rFonts w:asciiTheme="majorHAnsi" w:eastAsia="Calibri" w:hAnsiTheme="majorHAnsi"/>
        </w:rPr>
        <w:t xml:space="preserve">is </w:t>
      </w:r>
      <w:r w:rsidR="00C1634F" w:rsidRPr="007C4B78">
        <w:rPr>
          <w:rFonts w:asciiTheme="majorHAnsi" w:eastAsia="Calibri" w:hAnsiTheme="majorHAnsi"/>
        </w:rPr>
        <w:t xml:space="preserve">especially difficult to research since </w:t>
      </w:r>
      <w:r w:rsidR="00C7687B" w:rsidRPr="007C4B78">
        <w:rPr>
          <w:rFonts w:asciiTheme="majorHAnsi" w:eastAsia="Calibri" w:hAnsiTheme="majorHAnsi"/>
        </w:rPr>
        <w:t>it does</w:t>
      </w:r>
      <w:r w:rsidR="00C1634F" w:rsidRPr="007C4B78">
        <w:rPr>
          <w:rFonts w:asciiTheme="majorHAnsi" w:eastAsia="Calibri" w:hAnsiTheme="majorHAnsi"/>
        </w:rPr>
        <w:t xml:space="preserve"> not occur in a court setting. </w:t>
      </w:r>
      <w:r w:rsidR="00AD78EE" w:rsidRPr="007C4B78">
        <w:rPr>
          <w:rFonts w:asciiTheme="majorHAnsi" w:eastAsia="Calibri" w:hAnsiTheme="majorHAnsi"/>
        </w:rPr>
        <w:t>T</w:t>
      </w:r>
      <w:r w:rsidR="00AF0FA0" w:rsidRPr="007C4B78">
        <w:rPr>
          <w:rFonts w:asciiTheme="majorHAnsi" w:eastAsia="Calibri" w:hAnsiTheme="majorHAnsi"/>
        </w:rPr>
        <w:t>he participation of children in care proceedings seem to depend on the individual judges view on child participation and their level of comfort with facilitating the voice of the child.</w:t>
      </w:r>
      <w:r w:rsidR="00AD78EE" w:rsidRPr="007C4B78">
        <w:rPr>
          <w:rFonts w:asciiTheme="majorHAnsi" w:eastAsia="Calibri" w:hAnsiTheme="majorHAnsi"/>
        </w:rPr>
        <w:t xml:space="preserve"> This may change if the 31</w:t>
      </w:r>
      <w:r w:rsidR="00AD78EE" w:rsidRPr="007C4B78">
        <w:rPr>
          <w:rFonts w:asciiTheme="majorHAnsi" w:eastAsia="Calibri" w:hAnsiTheme="majorHAnsi"/>
          <w:vertAlign w:val="superscript"/>
        </w:rPr>
        <w:t>st</w:t>
      </w:r>
      <w:r w:rsidR="00AD78EE" w:rsidRPr="007C4B78">
        <w:rPr>
          <w:rFonts w:asciiTheme="majorHAnsi" w:eastAsia="Calibri" w:hAnsiTheme="majorHAnsi"/>
        </w:rPr>
        <w:t xml:space="preserve"> Amendment </w:t>
      </w:r>
      <w:r w:rsidR="00540BF1" w:rsidRPr="007C4B78">
        <w:rPr>
          <w:rFonts w:asciiTheme="majorHAnsi" w:eastAsia="Calibri" w:hAnsiTheme="majorHAnsi"/>
        </w:rPr>
        <w:t>comes</w:t>
      </w:r>
      <w:r w:rsidR="00C7687B" w:rsidRPr="007C4B78">
        <w:rPr>
          <w:rFonts w:asciiTheme="majorHAnsi" w:eastAsia="Calibri" w:hAnsiTheme="majorHAnsi"/>
        </w:rPr>
        <w:t xml:space="preserve"> </w:t>
      </w:r>
      <w:r w:rsidR="00AD78EE" w:rsidRPr="007C4B78">
        <w:rPr>
          <w:rFonts w:asciiTheme="majorHAnsi" w:eastAsia="Calibri" w:hAnsiTheme="majorHAnsi"/>
        </w:rPr>
        <w:t>into effect.</w:t>
      </w:r>
    </w:p>
    <w:p w14:paraId="3CD3E961" w14:textId="77777777" w:rsidR="00063DB1" w:rsidRPr="007C4B78" w:rsidRDefault="00063DB1" w:rsidP="004D12C3">
      <w:pPr>
        <w:jc w:val="both"/>
        <w:rPr>
          <w:rFonts w:asciiTheme="majorHAnsi" w:eastAsia="Calibri" w:hAnsiTheme="majorHAnsi"/>
        </w:rPr>
      </w:pPr>
    </w:p>
    <w:p w14:paraId="28AD0B14" w14:textId="77777777" w:rsidR="001838ED" w:rsidRPr="007C4B78" w:rsidRDefault="001838ED" w:rsidP="004D12C3">
      <w:pPr>
        <w:jc w:val="both"/>
        <w:rPr>
          <w:rFonts w:asciiTheme="majorHAnsi" w:eastAsia="Calibri" w:hAnsiTheme="majorHAnsi"/>
        </w:rPr>
      </w:pPr>
      <w:r w:rsidRPr="007C4B78">
        <w:rPr>
          <w:rFonts w:asciiTheme="majorHAnsi" w:eastAsia="Calibri" w:hAnsiTheme="majorHAnsi"/>
        </w:rPr>
        <w:t>One district judge interviewed</w:t>
      </w:r>
      <w:r w:rsidR="003D1623" w:rsidRPr="007C4B78">
        <w:rPr>
          <w:rFonts w:asciiTheme="majorHAnsi" w:eastAsia="Calibri" w:hAnsiTheme="majorHAnsi"/>
        </w:rPr>
        <w:t xml:space="preserve"> for this project</w:t>
      </w:r>
      <w:r w:rsidR="00C7687B" w:rsidRPr="007C4B78">
        <w:rPr>
          <w:rFonts w:asciiTheme="majorHAnsi" w:eastAsia="Calibri" w:hAnsiTheme="majorHAnsi"/>
        </w:rPr>
        <w:t xml:space="preserve"> </w:t>
      </w:r>
      <w:r w:rsidR="003D1623" w:rsidRPr="007C4B78">
        <w:rPr>
          <w:rFonts w:asciiTheme="majorHAnsi" w:eastAsia="Calibri" w:hAnsiTheme="majorHAnsi"/>
        </w:rPr>
        <w:t xml:space="preserve">viewed </w:t>
      </w:r>
      <w:r w:rsidRPr="007C4B78">
        <w:rPr>
          <w:rFonts w:asciiTheme="majorHAnsi" w:eastAsia="Calibri" w:hAnsiTheme="majorHAnsi"/>
        </w:rPr>
        <w:t>that the voice of the child is heard in court</w:t>
      </w:r>
      <w:r w:rsidR="00C1634F" w:rsidRPr="007C4B78">
        <w:rPr>
          <w:rFonts w:asciiTheme="majorHAnsi" w:eastAsia="Calibri" w:hAnsiTheme="majorHAnsi"/>
        </w:rPr>
        <w:t xml:space="preserve"> for care proceedings</w:t>
      </w:r>
      <w:r w:rsidRPr="007C4B78">
        <w:rPr>
          <w:rFonts w:asciiTheme="majorHAnsi" w:eastAsia="Calibri" w:hAnsiTheme="majorHAnsi"/>
        </w:rPr>
        <w:t xml:space="preserve"> through the</w:t>
      </w:r>
      <w:r w:rsidR="003D1623" w:rsidRPr="007C4B78">
        <w:rPr>
          <w:rFonts w:asciiTheme="majorHAnsi" w:eastAsia="Calibri" w:hAnsiTheme="majorHAnsi"/>
        </w:rPr>
        <w:t xml:space="preserve"> appointment of a</w:t>
      </w:r>
      <w:r w:rsidR="00C7687B" w:rsidRPr="007C4B78">
        <w:rPr>
          <w:rFonts w:asciiTheme="majorHAnsi" w:eastAsia="Calibri" w:hAnsiTheme="majorHAnsi"/>
        </w:rPr>
        <w:t xml:space="preserve"> </w:t>
      </w:r>
      <w:r w:rsidR="00926D40" w:rsidRPr="007C4B78">
        <w:rPr>
          <w:rFonts w:asciiTheme="majorHAnsi" w:eastAsia="Calibri" w:hAnsiTheme="majorHAnsi"/>
        </w:rPr>
        <w:t>guardian ad litem</w:t>
      </w:r>
      <w:r w:rsidRPr="007C4B78">
        <w:rPr>
          <w:rFonts w:asciiTheme="majorHAnsi" w:eastAsia="Calibri" w:hAnsiTheme="majorHAnsi"/>
        </w:rPr>
        <w:t xml:space="preserve"> and the </w:t>
      </w:r>
      <w:r w:rsidR="003D1623" w:rsidRPr="007C4B78">
        <w:rPr>
          <w:rFonts w:asciiTheme="majorHAnsi" w:eastAsia="Calibri" w:hAnsiTheme="majorHAnsi"/>
        </w:rPr>
        <w:t xml:space="preserve">commissioning of the </w:t>
      </w:r>
      <w:r w:rsidRPr="007C4B78">
        <w:rPr>
          <w:rFonts w:asciiTheme="majorHAnsi" w:eastAsia="Calibri" w:hAnsiTheme="majorHAnsi"/>
        </w:rPr>
        <w:t xml:space="preserve">psychologist’s report. The judge also felt that parents </w:t>
      </w:r>
      <w:r w:rsidR="003D1623" w:rsidRPr="007C4B78">
        <w:rPr>
          <w:rFonts w:asciiTheme="majorHAnsi" w:eastAsia="Calibri" w:hAnsiTheme="majorHAnsi"/>
        </w:rPr>
        <w:t>could generally represent the voice of the child in proceedings</w:t>
      </w:r>
      <w:r w:rsidRPr="007C4B78">
        <w:rPr>
          <w:rFonts w:asciiTheme="majorHAnsi" w:eastAsia="Calibri" w:hAnsiTheme="majorHAnsi"/>
        </w:rPr>
        <w:t>. The same judge, however, also noted that she always spoke to a child if they requested to speak with her and that she took letters sent by children into account</w:t>
      </w:r>
      <w:r w:rsidR="003D1623" w:rsidRPr="007C4B78">
        <w:rPr>
          <w:rFonts w:asciiTheme="majorHAnsi" w:eastAsia="Calibri" w:hAnsiTheme="majorHAnsi"/>
        </w:rPr>
        <w:t xml:space="preserve"> in making her final decision</w:t>
      </w:r>
      <w:r w:rsidRPr="007C4B78">
        <w:rPr>
          <w:rFonts w:asciiTheme="majorHAnsi" w:eastAsia="Calibri" w:hAnsiTheme="majorHAnsi"/>
        </w:rPr>
        <w:t>.</w:t>
      </w:r>
      <w:r w:rsidRPr="007C4B78">
        <w:rPr>
          <w:rStyle w:val="FootnoteReference"/>
          <w:rFonts w:asciiTheme="majorHAnsi" w:eastAsia="Calibri" w:hAnsiTheme="majorHAnsi"/>
        </w:rPr>
        <w:footnoteReference w:id="153"/>
      </w:r>
      <w:r w:rsidRPr="007C4B78">
        <w:rPr>
          <w:rFonts w:asciiTheme="majorHAnsi" w:eastAsia="Calibri" w:hAnsiTheme="majorHAnsi"/>
        </w:rPr>
        <w:t xml:space="preserve"> Another interviewee </w:t>
      </w:r>
      <w:r w:rsidR="003D1623" w:rsidRPr="007C4B78">
        <w:rPr>
          <w:rFonts w:asciiTheme="majorHAnsi" w:eastAsia="Calibri" w:hAnsiTheme="majorHAnsi"/>
        </w:rPr>
        <w:t>viewed that</w:t>
      </w:r>
      <w:r w:rsidRPr="007C4B78">
        <w:rPr>
          <w:rFonts w:asciiTheme="majorHAnsi" w:eastAsia="Calibri" w:hAnsiTheme="majorHAnsi"/>
        </w:rPr>
        <w:t xml:space="preserve"> momentum</w:t>
      </w:r>
      <w:r w:rsidR="003D1623" w:rsidRPr="007C4B78">
        <w:rPr>
          <w:rFonts w:asciiTheme="majorHAnsi" w:eastAsia="Calibri" w:hAnsiTheme="majorHAnsi"/>
        </w:rPr>
        <w:t xml:space="preserve"> was increasing</w:t>
      </w:r>
      <w:r w:rsidRPr="007C4B78">
        <w:rPr>
          <w:rFonts w:asciiTheme="majorHAnsi" w:eastAsia="Calibri" w:hAnsiTheme="majorHAnsi"/>
        </w:rPr>
        <w:t xml:space="preserve"> towards hearing the voice of the child</w:t>
      </w:r>
      <w:r w:rsidR="003D1623" w:rsidRPr="007C4B78">
        <w:rPr>
          <w:rFonts w:asciiTheme="majorHAnsi" w:eastAsia="Calibri" w:hAnsiTheme="majorHAnsi"/>
        </w:rPr>
        <w:t xml:space="preserve"> in legal proceedings</w:t>
      </w:r>
      <w:r w:rsidRPr="007C4B78">
        <w:rPr>
          <w:rFonts w:asciiTheme="majorHAnsi" w:eastAsia="Calibri" w:hAnsiTheme="majorHAnsi"/>
        </w:rPr>
        <w:t xml:space="preserve"> and th</w:t>
      </w:r>
      <w:r w:rsidR="003D1623" w:rsidRPr="007C4B78">
        <w:rPr>
          <w:rFonts w:asciiTheme="majorHAnsi" w:eastAsia="Calibri" w:hAnsiTheme="majorHAnsi"/>
        </w:rPr>
        <w:t xml:space="preserve">at many </w:t>
      </w:r>
      <w:r w:rsidRPr="007C4B78">
        <w:rPr>
          <w:rFonts w:asciiTheme="majorHAnsi" w:eastAsia="Calibri" w:hAnsiTheme="majorHAnsi"/>
        </w:rPr>
        <w:t>judges</w:t>
      </w:r>
      <w:r w:rsidR="003D1623" w:rsidRPr="007C4B78">
        <w:rPr>
          <w:rFonts w:asciiTheme="majorHAnsi" w:eastAsia="Calibri" w:hAnsiTheme="majorHAnsi"/>
        </w:rPr>
        <w:t xml:space="preserve"> in Ireland</w:t>
      </w:r>
      <w:r w:rsidR="00C7687B" w:rsidRPr="007C4B78">
        <w:rPr>
          <w:rFonts w:asciiTheme="majorHAnsi" w:eastAsia="Calibri" w:hAnsiTheme="majorHAnsi"/>
        </w:rPr>
        <w:t xml:space="preserve"> </w:t>
      </w:r>
      <w:r w:rsidR="003D1623" w:rsidRPr="007C4B78">
        <w:rPr>
          <w:rFonts w:asciiTheme="majorHAnsi" w:eastAsia="Calibri" w:hAnsiTheme="majorHAnsi"/>
        </w:rPr>
        <w:t xml:space="preserve">are </w:t>
      </w:r>
      <w:r w:rsidRPr="007C4B78">
        <w:rPr>
          <w:rFonts w:asciiTheme="majorHAnsi" w:eastAsia="Calibri" w:hAnsiTheme="majorHAnsi"/>
        </w:rPr>
        <w:t>very interested in hearing the voice of the child.</w:t>
      </w:r>
      <w:r w:rsidRPr="007C4B78">
        <w:rPr>
          <w:rStyle w:val="FootnoteReference"/>
          <w:rFonts w:asciiTheme="majorHAnsi" w:eastAsia="Calibri" w:hAnsiTheme="majorHAnsi"/>
        </w:rPr>
        <w:footnoteReference w:id="154"/>
      </w:r>
    </w:p>
    <w:p w14:paraId="118EB3C5" w14:textId="77777777" w:rsidR="001838ED" w:rsidRPr="007C4B78" w:rsidRDefault="001838ED" w:rsidP="004D12C3">
      <w:pPr>
        <w:jc w:val="both"/>
        <w:rPr>
          <w:rFonts w:asciiTheme="majorHAnsi" w:eastAsia="Calibri" w:hAnsiTheme="majorHAnsi"/>
        </w:rPr>
      </w:pPr>
    </w:p>
    <w:p w14:paraId="2A933435" w14:textId="77777777" w:rsidR="00BB1B6C" w:rsidRPr="007C4B78" w:rsidRDefault="00BB1B6C" w:rsidP="004D12C3">
      <w:pPr>
        <w:jc w:val="both"/>
        <w:rPr>
          <w:rFonts w:asciiTheme="majorHAnsi" w:eastAsia="Calibri" w:hAnsiTheme="majorHAnsi"/>
        </w:rPr>
      </w:pPr>
      <w:r w:rsidRPr="007C4B78">
        <w:rPr>
          <w:rFonts w:asciiTheme="majorHAnsi" w:eastAsia="Calibri" w:hAnsiTheme="majorHAnsi"/>
        </w:rPr>
        <w:t>An interview with a representative from a child advocacy agency</w:t>
      </w:r>
      <w:r w:rsidR="003D1623" w:rsidRPr="007C4B78">
        <w:rPr>
          <w:rFonts w:asciiTheme="majorHAnsi" w:eastAsia="Calibri" w:hAnsiTheme="majorHAnsi"/>
        </w:rPr>
        <w:t xml:space="preserve"> for this project</w:t>
      </w:r>
      <w:r w:rsidRPr="007C4B78">
        <w:rPr>
          <w:rFonts w:asciiTheme="majorHAnsi" w:eastAsia="Calibri" w:hAnsiTheme="majorHAnsi"/>
        </w:rPr>
        <w:t xml:space="preserve"> stated that children with </w:t>
      </w:r>
      <w:r w:rsidR="00CF0F5B" w:rsidRPr="007C4B78">
        <w:rPr>
          <w:rFonts w:asciiTheme="majorHAnsi" w:eastAsia="Calibri" w:hAnsiTheme="majorHAnsi"/>
        </w:rPr>
        <w:t>cognitive disabilities</w:t>
      </w:r>
      <w:r w:rsidRPr="007C4B78">
        <w:rPr>
          <w:rFonts w:asciiTheme="majorHAnsi" w:eastAsia="Calibri" w:hAnsiTheme="majorHAnsi"/>
        </w:rPr>
        <w:t xml:space="preserve"> in care often have their care dictated to them and are not included or involved in the process.</w:t>
      </w:r>
      <w:r w:rsidRPr="007C4B78">
        <w:rPr>
          <w:rStyle w:val="FootnoteReference"/>
          <w:rFonts w:asciiTheme="majorHAnsi" w:eastAsia="Calibri" w:hAnsiTheme="majorHAnsi"/>
        </w:rPr>
        <w:footnoteReference w:id="155"/>
      </w:r>
      <w:r w:rsidRPr="007C4B78">
        <w:rPr>
          <w:rFonts w:asciiTheme="majorHAnsi" w:eastAsia="Calibri" w:hAnsiTheme="majorHAnsi"/>
        </w:rPr>
        <w:t xml:space="preserve"> This sentiment is </w:t>
      </w:r>
      <w:r w:rsidR="003D1623" w:rsidRPr="007C4B78">
        <w:rPr>
          <w:rFonts w:asciiTheme="majorHAnsi" w:eastAsia="Calibri" w:hAnsiTheme="majorHAnsi"/>
        </w:rPr>
        <w:t>supported by a</w:t>
      </w:r>
      <w:r w:rsidRPr="007C4B78">
        <w:rPr>
          <w:rFonts w:asciiTheme="majorHAnsi" w:eastAsia="Calibri" w:hAnsiTheme="majorHAnsi"/>
        </w:rPr>
        <w:t xml:space="preserve"> new report from </w:t>
      </w:r>
      <w:r w:rsidR="003D1623" w:rsidRPr="007C4B78">
        <w:rPr>
          <w:rFonts w:asciiTheme="majorHAnsi" w:eastAsia="Calibri" w:hAnsiTheme="majorHAnsi"/>
        </w:rPr>
        <w:t xml:space="preserve">EPIC </w:t>
      </w:r>
      <w:r w:rsidR="00464197" w:rsidRPr="007C4B78">
        <w:rPr>
          <w:rFonts w:asciiTheme="majorHAnsi" w:eastAsia="Calibri" w:hAnsiTheme="majorHAnsi"/>
        </w:rPr>
        <w:t>which found</w:t>
      </w:r>
      <w:r w:rsidR="00526E14" w:rsidRPr="007C4B78">
        <w:rPr>
          <w:rFonts w:asciiTheme="majorHAnsi" w:eastAsia="Calibri" w:hAnsiTheme="majorHAnsi"/>
        </w:rPr>
        <w:t xml:space="preserve"> in interviews with young people in care that some of the participants felt that their input was not valued at care review meetings and that decisions had already been made prior to the meetings.</w:t>
      </w:r>
      <w:r w:rsidR="00526E14" w:rsidRPr="007C4B78">
        <w:rPr>
          <w:rStyle w:val="FootnoteReference"/>
          <w:rFonts w:asciiTheme="majorHAnsi" w:eastAsia="Calibri" w:hAnsiTheme="majorHAnsi"/>
        </w:rPr>
        <w:footnoteReference w:id="156"/>
      </w:r>
    </w:p>
    <w:p w14:paraId="6C468C19" w14:textId="77777777" w:rsidR="00BB1B6C" w:rsidRPr="007C4B78" w:rsidRDefault="00BB1B6C" w:rsidP="004D12C3">
      <w:pPr>
        <w:jc w:val="both"/>
        <w:rPr>
          <w:rFonts w:asciiTheme="majorHAnsi" w:eastAsia="Calibri" w:hAnsiTheme="majorHAnsi"/>
        </w:rPr>
      </w:pPr>
    </w:p>
    <w:p w14:paraId="697999C9" w14:textId="77777777" w:rsidR="00AC5E18" w:rsidRPr="007C4B78" w:rsidRDefault="00AC5E18"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t>It should be noted that while children in care should have a dedicated social worker there are hundreds of children who do not</w:t>
      </w:r>
      <w:r w:rsidR="003D1623" w:rsidRPr="007C4B78">
        <w:rPr>
          <w:rFonts w:asciiTheme="majorHAnsi" w:hAnsiTheme="majorHAnsi"/>
        </w:rPr>
        <w:t xml:space="preserve"> currently</w:t>
      </w:r>
      <w:r w:rsidRPr="007C4B78">
        <w:rPr>
          <w:rFonts w:asciiTheme="majorHAnsi" w:hAnsiTheme="majorHAnsi"/>
        </w:rPr>
        <w:t xml:space="preserve"> have a dedicated social worker, which could negatively impact accessing services and appropriate placements.</w:t>
      </w:r>
      <w:r w:rsidRPr="007C4B78">
        <w:rPr>
          <w:rStyle w:val="FootnoteReference"/>
          <w:rFonts w:asciiTheme="majorHAnsi" w:hAnsiTheme="majorHAnsi"/>
        </w:rPr>
        <w:footnoteReference w:id="157"/>
      </w:r>
    </w:p>
    <w:p w14:paraId="790D93DA" w14:textId="77777777" w:rsidR="00AC5E18" w:rsidRPr="007C4B78" w:rsidRDefault="00AC5E18" w:rsidP="004D12C3">
      <w:pPr>
        <w:jc w:val="both"/>
        <w:rPr>
          <w:rFonts w:asciiTheme="majorHAnsi" w:eastAsia="Calibri" w:hAnsiTheme="majorHAnsi"/>
        </w:rPr>
      </w:pPr>
    </w:p>
    <w:p w14:paraId="18EDF840" w14:textId="77777777" w:rsidR="00E03B6F" w:rsidRPr="007C4B78" w:rsidRDefault="00E03B6F" w:rsidP="004D12C3">
      <w:pPr>
        <w:pStyle w:val="ColorfulList-Accent11"/>
        <w:ind w:left="0"/>
        <w:jc w:val="both"/>
        <w:rPr>
          <w:rFonts w:asciiTheme="majorHAnsi" w:eastAsia="Calibri" w:hAnsiTheme="majorHAnsi"/>
        </w:rPr>
      </w:pPr>
      <w:r w:rsidRPr="007C4B78">
        <w:rPr>
          <w:rFonts w:asciiTheme="majorHAnsi" w:eastAsia="Calibri" w:hAnsiTheme="majorHAnsi"/>
        </w:rPr>
        <w:t xml:space="preserve">One parent </w:t>
      </w:r>
      <w:r w:rsidR="003D1623" w:rsidRPr="007C4B78">
        <w:rPr>
          <w:rFonts w:asciiTheme="majorHAnsi" w:eastAsia="Calibri" w:hAnsiTheme="majorHAnsi"/>
        </w:rPr>
        <w:t xml:space="preserve">interviewed for this report </w:t>
      </w:r>
      <w:r w:rsidRPr="007C4B78">
        <w:rPr>
          <w:rFonts w:asciiTheme="majorHAnsi" w:eastAsia="Calibri" w:hAnsiTheme="majorHAnsi"/>
        </w:rPr>
        <w:t xml:space="preserve">was told that care proceedings could be instituted against her because she was not supposed to have her child with a </w:t>
      </w:r>
      <w:r w:rsidRPr="007C4B78">
        <w:rPr>
          <w:rFonts w:asciiTheme="majorHAnsi" w:eastAsia="Calibri" w:hAnsiTheme="majorHAnsi"/>
        </w:rPr>
        <w:lastRenderedPageBreak/>
        <w:t>cognitive disability in the house with her other children</w:t>
      </w:r>
      <w:r w:rsidR="003D1623" w:rsidRPr="007C4B78">
        <w:rPr>
          <w:rFonts w:asciiTheme="majorHAnsi" w:eastAsia="Calibri" w:hAnsiTheme="majorHAnsi"/>
        </w:rPr>
        <w:t>,</w:t>
      </w:r>
      <w:r w:rsidRPr="007C4B78">
        <w:rPr>
          <w:rFonts w:asciiTheme="majorHAnsi" w:eastAsia="Calibri" w:hAnsiTheme="majorHAnsi"/>
        </w:rPr>
        <w:t xml:space="preserve"> but the HSE was unable to provide any services or </w:t>
      </w:r>
      <w:r w:rsidR="003D1623" w:rsidRPr="007C4B78">
        <w:rPr>
          <w:rFonts w:asciiTheme="majorHAnsi" w:eastAsia="Calibri" w:hAnsiTheme="majorHAnsi"/>
        </w:rPr>
        <w:t xml:space="preserve">an alternative </w:t>
      </w:r>
      <w:r w:rsidRPr="007C4B78">
        <w:rPr>
          <w:rFonts w:asciiTheme="majorHAnsi" w:eastAsia="Calibri" w:hAnsiTheme="majorHAnsi"/>
        </w:rPr>
        <w:t xml:space="preserve">adequate placement for her child. For six months the child was moved </w:t>
      </w:r>
      <w:r w:rsidR="00FD6AE1" w:rsidRPr="007C4B78">
        <w:rPr>
          <w:rFonts w:asciiTheme="majorHAnsi" w:eastAsia="Calibri" w:hAnsiTheme="majorHAnsi"/>
        </w:rPr>
        <w:t xml:space="preserve">between </w:t>
      </w:r>
      <w:r w:rsidR="00BE016B" w:rsidRPr="007C4B78">
        <w:rPr>
          <w:rFonts w:asciiTheme="majorHAnsi" w:eastAsia="Calibri" w:hAnsiTheme="majorHAnsi"/>
        </w:rPr>
        <w:t>Bed and Breakfasts</w:t>
      </w:r>
      <w:r w:rsidRPr="007C4B78">
        <w:rPr>
          <w:rFonts w:asciiTheme="majorHAnsi" w:eastAsia="Calibri" w:hAnsiTheme="majorHAnsi"/>
        </w:rPr>
        <w:t xml:space="preserve"> and holiday homes with a social worker</w:t>
      </w:r>
      <w:r w:rsidR="00FD6AE1" w:rsidRPr="007C4B78">
        <w:rPr>
          <w:rFonts w:asciiTheme="majorHAnsi" w:eastAsia="Calibri" w:hAnsiTheme="majorHAnsi"/>
        </w:rPr>
        <w:t>,</w:t>
      </w:r>
      <w:r w:rsidRPr="007C4B78">
        <w:rPr>
          <w:rFonts w:asciiTheme="majorHAnsi" w:eastAsia="Calibri" w:hAnsiTheme="majorHAnsi"/>
        </w:rPr>
        <w:t xml:space="preserve"> interrupted </w:t>
      </w:r>
      <w:r w:rsidR="003D1623" w:rsidRPr="007C4B78">
        <w:rPr>
          <w:rFonts w:asciiTheme="majorHAnsi" w:eastAsia="Calibri" w:hAnsiTheme="majorHAnsi"/>
        </w:rPr>
        <w:t xml:space="preserve">by </w:t>
      </w:r>
      <w:r w:rsidRPr="007C4B78">
        <w:rPr>
          <w:rFonts w:asciiTheme="majorHAnsi" w:eastAsia="Calibri" w:hAnsiTheme="majorHAnsi"/>
        </w:rPr>
        <w:t xml:space="preserve">stays at home when the HSE periodically </w:t>
      </w:r>
      <w:r w:rsidR="003D1623" w:rsidRPr="007C4B78">
        <w:rPr>
          <w:rFonts w:asciiTheme="majorHAnsi" w:eastAsia="Calibri" w:hAnsiTheme="majorHAnsi"/>
        </w:rPr>
        <w:t xml:space="preserve">removed </w:t>
      </w:r>
      <w:r w:rsidRPr="007C4B78">
        <w:rPr>
          <w:rFonts w:asciiTheme="majorHAnsi" w:eastAsia="Calibri" w:hAnsiTheme="majorHAnsi"/>
        </w:rPr>
        <w:t xml:space="preserve">funding. At one point the parent was told the child could go into ‘out of hours care’ where the child would be left at a hotel or </w:t>
      </w:r>
      <w:r w:rsidR="00BE016B" w:rsidRPr="007C4B78">
        <w:rPr>
          <w:rFonts w:asciiTheme="majorHAnsi" w:eastAsia="Calibri" w:hAnsiTheme="majorHAnsi"/>
        </w:rPr>
        <w:t>Bed and Breakfast</w:t>
      </w:r>
      <w:r w:rsidRPr="007C4B78">
        <w:rPr>
          <w:rFonts w:asciiTheme="majorHAnsi" w:eastAsia="Calibri" w:hAnsiTheme="majorHAnsi"/>
        </w:rPr>
        <w:t xml:space="preserve"> alone without a social worker</w:t>
      </w:r>
      <w:r w:rsidR="00FD6AE1" w:rsidRPr="007C4B78">
        <w:rPr>
          <w:rFonts w:asciiTheme="majorHAnsi" w:eastAsia="Calibri" w:hAnsiTheme="majorHAnsi"/>
        </w:rPr>
        <w:t>.</w:t>
      </w:r>
      <w:r w:rsidRPr="007C4B78">
        <w:rPr>
          <w:rStyle w:val="FootnoteReference"/>
          <w:rFonts w:asciiTheme="majorHAnsi" w:eastAsia="Calibri" w:hAnsiTheme="majorHAnsi"/>
        </w:rPr>
        <w:footnoteReference w:id="158"/>
      </w:r>
    </w:p>
    <w:p w14:paraId="7C597202" w14:textId="77777777" w:rsidR="001A6111" w:rsidRPr="007C4B78" w:rsidRDefault="001A6111" w:rsidP="004D12C3">
      <w:pPr>
        <w:jc w:val="both"/>
        <w:rPr>
          <w:rFonts w:asciiTheme="majorHAnsi" w:eastAsia="Calibri" w:hAnsiTheme="majorHAnsi"/>
        </w:rPr>
      </w:pPr>
    </w:p>
    <w:p w14:paraId="0E77B0DD" w14:textId="77777777" w:rsidR="001A6111" w:rsidRPr="007C4B78" w:rsidRDefault="001A6111" w:rsidP="004D12C3">
      <w:pPr>
        <w:jc w:val="both"/>
        <w:rPr>
          <w:rFonts w:asciiTheme="majorHAnsi" w:eastAsia="Calibri" w:hAnsiTheme="majorHAnsi"/>
        </w:rPr>
      </w:pPr>
      <w:r w:rsidRPr="007C4B78">
        <w:rPr>
          <w:rFonts w:asciiTheme="majorHAnsi" w:eastAsia="Calibri" w:hAnsiTheme="majorHAnsi"/>
        </w:rPr>
        <w:t>An interview with a representative from a child advocacy organi</w:t>
      </w:r>
      <w:r w:rsidR="00FD6AE1" w:rsidRPr="007C4B78">
        <w:rPr>
          <w:rFonts w:asciiTheme="majorHAnsi" w:eastAsia="Calibri" w:hAnsiTheme="majorHAnsi"/>
        </w:rPr>
        <w:t>s</w:t>
      </w:r>
      <w:r w:rsidRPr="007C4B78">
        <w:rPr>
          <w:rFonts w:asciiTheme="majorHAnsi" w:eastAsia="Calibri" w:hAnsiTheme="majorHAnsi"/>
        </w:rPr>
        <w:t>ation said there are huge cultural challenges to having the voice of the child heard in Ireland and that even with upcoming family law legislation there is a strong belief that children are</w:t>
      </w:r>
      <w:r w:rsidR="00C7687B" w:rsidRPr="007C4B78">
        <w:rPr>
          <w:rFonts w:asciiTheme="majorHAnsi" w:eastAsia="Calibri" w:hAnsiTheme="majorHAnsi"/>
        </w:rPr>
        <w:t xml:space="preserve"> </w:t>
      </w:r>
      <w:r w:rsidRPr="007C4B78">
        <w:rPr>
          <w:rFonts w:asciiTheme="majorHAnsi" w:eastAsia="Calibri" w:hAnsiTheme="majorHAnsi"/>
        </w:rPr>
        <w:t>n</w:t>
      </w:r>
      <w:r w:rsidR="00FD6AE1" w:rsidRPr="007C4B78">
        <w:rPr>
          <w:rFonts w:asciiTheme="majorHAnsi" w:eastAsia="Calibri" w:hAnsiTheme="majorHAnsi"/>
        </w:rPr>
        <w:t>o</w:t>
      </w:r>
      <w:r w:rsidRPr="007C4B78">
        <w:rPr>
          <w:rFonts w:asciiTheme="majorHAnsi" w:eastAsia="Calibri" w:hAnsiTheme="majorHAnsi"/>
        </w:rPr>
        <w:t>t able to articulate or express their voice.</w:t>
      </w:r>
      <w:r w:rsidRPr="007C4B78">
        <w:rPr>
          <w:rStyle w:val="FootnoteReference"/>
          <w:rFonts w:asciiTheme="majorHAnsi" w:eastAsia="Calibri" w:hAnsiTheme="majorHAnsi"/>
        </w:rPr>
        <w:footnoteReference w:id="159"/>
      </w:r>
    </w:p>
    <w:p w14:paraId="20C8C4C3" w14:textId="77777777" w:rsidR="00161059" w:rsidRPr="007C4B78" w:rsidRDefault="00161059" w:rsidP="004D12C3">
      <w:pPr>
        <w:pStyle w:val="Heading2"/>
        <w:jc w:val="both"/>
        <w:rPr>
          <w:rFonts w:asciiTheme="majorHAnsi" w:hAnsiTheme="majorHAnsi"/>
        </w:rPr>
      </w:pPr>
      <w:bookmarkStart w:id="29" w:name="_Toc417303155"/>
      <w:r w:rsidRPr="007C4B78">
        <w:rPr>
          <w:rFonts w:asciiTheme="majorHAnsi" w:hAnsiTheme="majorHAnsi"/>
        </w:rPr>
        <w:t>Guardianship and Custody Hearings</w:t>
      </w:r>
      <w:bookmarkEnd w:id="29"/>
    </w:p>
    <w:p w14:paraId="51312257" w14:textId="77777777" w:rsidR="00AC5E18" w:rsidRPr="007C4B78" w:rsidRDefault="00AC5E18"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t>In 201</w:t>
      </w:r>
      <w:r w:rsidR="002B243C" w:rsidRPr="007C4B78">
        <w:rPr>
          <w:rFonts w:asciiTheme="majorHAnsi" w:hAnsiTheme="majorHAnsi"/>
        </w:rPr>
        <w:t>3</w:t>
      </w:r>
      <w:r w:rsidRPr="007C4B78">
        <w:rPr>
          <w:rFonts w:asciiTheme="majorHAnsi" w:hAnsiTheme="majorHAnsi"/>
        </w:rPr>
        <w:t xml:space="preserve"> there were 4</w:t>
      </w:r>
      <w:r w:rsidR="002B243C" w:rsidRPr="007C4B78">
        <w:rPr>
          <w:rFonts w:asciiTheme="majorHAnsi" w:hAnsiTheme="majorHAnsi"/>
        </w:rPr>
        <w:t>67</w:t>
      </w:r>
      <w:r w:rsidRPr="007C4B78">
        <w:rPr>
          <w:rFonts w:asciiTheme="majorHAnsi" w:hAnsiTheme="majorHAnsi"/>
        </w:rPr>
        <w:t xml:space="preserve"> custody and access questions settled in judicial separation proceedings brought before the </w:t>
      </w:r>
      <w:r w:rsidR="00B564F8" w:rsidRPr="007C4B78">
        <w:rPr>
          <w:rFonts w:asciiTheme="majorHAnsi" w:hAnsiTheme="majorHAnsi"/>
        </w:rPr>
        <w:t>C</w:t>
      </w:r>
      <w:r w:rsidRPr="007C4B78">
        <w:rPr>
          <w:rFonts w:asciiTheme="majorHAnsi" w:hAnsiTheme="majorHAnsi"/>
        </w:rPr>
        <w:t xml:space="preserve">ircuit </w:t>
      </w:r>
      <w:r w:rsidR="00B564F8" w:rsidRPr="007C4B78">
        <w:rPr>
          <w:rFonts w:asciiTheme="majorHAnsi" w:hAnsiTheme="majorHAnsi"/>
        </w:rPr>
        <w:t>C</w:t>
      </w:r>
      <w:r w:rsidRPr="007C4B78">
        <w:rPr>
          <w:rFonts w:asciiTheme="majorHAnsi" w:hAnsiTheme="majorHAnsi"/>
        </w:rPr>
        <w:t xml:space="preserve">ourt and </w:t>
      </w:r>
      <w:r w:rsidR="002B243C" w:rsidRPr="007C4B78">
        <w:rPr>
          <w:rFonts w:asciiTheme="majorHAnsi" w:hAnsiTheme="majorHAnsi"/>
        </w:rPr>
        <w:t>727</w:t>
      </w:r>
      <w:r w:rsidRPr="007C4B78">
        <w:rPr>
          <w:rFonts w:asciiTheme="majorHAnsi" w:hAnsiTheme="majorHAnsi"/>
        </w:rPr>
        <w:t xml:space="preserve"> custody and access cases from divorce proceedings in circuit court.</w:t>
      </w:r>
      <w:r w:rsidRPr="007C4B78">
        <w:rPr>
          <w:rStyle w:val="FootnoteReference"/>
          <w:rFonts w:asciiTheme="majorHAnsi" w:hAnsiTheme="majorHAnsi"/>
        </w:rPr>
        <w:footnoteReference w:id="160"/>
      </w:r>
      <w:r w:rsidRPr="007C4B78">
        <w:rPr>
          <w:rFonts w:asciiTheme="majorHAnsi" w:hAnsiTheme="majorHAnsi"/>
        </w:rPr>
        <w:t xml:space="preserve">  In the </w:t>
      </w:r>
      <w:r w:rsidR="00B564F8" w:rsidRPr="007C4B78">
        <w:rPr>
          <w:rFonts w:asciiTheme="majorHAnsi" w:hAnsiTheme="majorHAnsi"/>
        </w:rPr>
        <w:t>D</w:t>
      </w:r>
      <w:r w:rsidRPr="007C4B78">
        <w:rPr>
          <w:rFonts w:asciiTheme="majorHAnsi" w:hAnsiTheme="majorHAnsi"/>
        </w:rPr>
        <w:t xml:space="preserve">istrict </w:t>
      </w:r>
      <w:r w:rsidR="00B564F8" w:rsidRPr="007C4B78">
        <w:rPr>
          <w:rFonts w:asciiTheme="majorHAnsi" w:hAnsiTheme="majorHAnsi"/>
        </w:rPr>
        <w:t>C</w:t>
      </w:r>
      <w:r w:rsidRPr="007C4B78">
        <w:rPr>
          <w:rFonts w:asciiTheme="majorHAnsi" w:hAnsiTheme="majorHAnsi"/>
        </w:rPr>
        <w:t>ourt</w:t>
      </w:r>
      <w:r w:rsidR="002B243C" w:rsidRPr="007C4B78">
        <w:rPr>
          <w:rFonts w:asciiTheme="majorHAnsi" w:hAnsiTheme="majorHAnsi"/>
        </w:rPr>
        <w:t xml:space="preserve"> in 2013</w:t>
      </w:r>
      <w:r w:rsidRPr="007C4B78">
        <w:rPr>
          <w:rFonts w:asciiTheme="majorHAnsi" w:hAnsiTheme="majorHAnsi"/>
        </w:rPr>
        <w:t xml:space="preserve"> the total number of custody and access cases </w:t>
      </w:r>
      <w:r w:rsidR="002B243C" w:rsidRPr="007C4B78">
        <w:rPr>
          <w:rFonts w:asciiTheme="majorHAnsi" w:hAnsiTheme="majorHAnsi"/>
        </w:rPr>
        <w:t xml:space="preserve">heard (not withdrawn or struck out) </w:t>
      </w:r>
      <w:r w:rsidRPr="007C4B78">
        <w:rPr>
          <w:rFonts w:asciiTheme="majorHAnsi" w:hAnsiTheme="majorHAnsi"/>
        </w:rPr>
        <w:t xml:space="preserve">was </w:t>
      </w:r>
      <w:r w:rsidR="002B243C" w:rsidRPr="007C4B78">
        <w:rPr>
          <w:rFonts w:asciiTheme="majorHAnsi" w:hAnsiTheme="majorHAnsi"/>
        </w:rPr>
        <w:t>6,057</w:t>
      </w:r>
      <w:r w:rsidRPr="007C4B78">
        <w:rPr>
          <w:rFonts w:asciiTheme="majorHAnsi" w:hAnsiTheme="majorHAnsi"/>
        </w:rPr>
        <w:t>.</w:t>
      </w:r>
      <w:r w:rsidR="002B243C" w:rsidRPr="007C4B78">
        <w:rPr>
          <w:rStyle w:val="FootnoteReference"/>
          <w:rFonts w:asciiTheme="majorHAnsi" w:hAnsiTheme="majorHAnsi"/>
        </w:rPr>
        <w:footnoteReference w:id="161"/>
      </w:r>
    </w:p>
    <w:p w14:paraId="64FF319B" w14:textId="77777777" w:rsidR="00AC5E18" w:rsidRPr="007C4B78" w:rsidRDefault="00AC5E18" w:rsidP="004D12C3">
      <w:pPr>
        <w:pStyle w:val="Heading3"/>
        <w:jc w:val="both"/>
      </w:pPr>
      <w:bookmarkStart w:id="30" w:name="_Toc417303156"/>
      <w:r w:rsidRPr="007C4B78">
        <w:t>Laws and Policies</w:t>
      </w:r>
      <w:bookmarkEnd w:id="30"/>
    </w:p>
    <w:p w14:paraId="2D1EE485" w14:textId="77777777" w:rsidR="00161059" w:rsidRPr="007C4B78" w:rsidRDefault="00161059" w:rsidP="004D12C3">
      <w:pPr>
        <w:jc w:val="both"/>
        <w:rPr>
          <w:rFonts w:asciiTheme="majorHAnsi" w:eastAsia="Calibri" w:hAnsiTheme="majorHAnsi"/>
        </w:rPr>
      </w:pPr>
      <w:r w:rsidRPr="007C4B78">
        <w:rPr>
          <w:rFonts w:asciiTheme="majorHAnsi" w:eastAsia="Calibri" w:hAnsiTheme="majorHAnsi"/>
        </w:rPr>
        <w:t>The main law in Ireland governing guardianship and custody of children is the Guardianship of Infants Act 1964, which has since been amended by several other laws</w:t>
      </w:r>
      <w:r w:rsidR="0072792F" w:rsidRPr="007C4B78">
        <w:rPr>
          <w:rFonts w:asciiTheme="majorHAnsi" w:eastAsia="Calibri" w:hAnsiTheme="majorHAnsi"/>
        </w:rPr>
        <w:t xml:space="preserve"> including most recently the Children and Family Relationships Act</w:t>
      </w:r>
      <w:r w:rsidRPr="007C4B78">
        <w:rPr>
          <w:rFonts w:asciiTheme="majorHAnsi" w:eastAsia="Calibri" w:hAnsiTheme="majorHAnsi"/>
        </w:rPr>
        <w:t xml:space="preserve">.  </w:t>
      </w:r>
      <w:r w:rsidR="00802BCE" w:rsidRPr="007C4B78">
        <w:rPr>
          <w:rFonts w:asciiTheme="majorHAnsi" w:eastAsia="Calibri" w:hAnsiTheme="majorHAnsi"/>
        </w:rPr>
        <w:t xml:space="preserve">The general approach in Irish law is that </w:t>
      </w:r>
      <w:r w:rsidRPr="007C4B78">
        <w:rPr>
          <w:rFonts w:asciiTheme="majorHAnsi" w:eastAsia="Calibri" w:hAnsiTheme="majorHAnsi"/>
        </w:rPr>
        <w:t>the father and mother are to be joint guardians of the child</w:t>
      </w:r>
      <w:r w:rsidR="00802BCE" w:rsidRPr="007C4B78">
        <w:rPr>
          <w:rFonts w:asciiTheme="majorHAnsi" w:eastAsia="Calibri" w:hAnsiTheme="majorHAnsi"/>
        </w:rPr>
        <w:t>.</w:t>
      </w:r>
      <w:r w:rsidRPr="007C4B78">
        <w:rPr>
          <w:rStyle w:val="FootnoteReference"/>
          <w:rFonts w:asciiTheme="majorHAnsi" w:eastAsia="Calibri" w:hAnsiTheme="majorHAnsi"/>
        </w:rPr>
        <w:footnoteReference w:id="162"/>
      </w:r>
      <w:r w:rsidR="00802BCE" w:rsidRPr="007C4B78">
        <w:rPr>
          <w:rFonts w:asciiTheme="majorHAnsi" w:eastAsia="Calibri" w:hAnsiTheme="majorHAnsi"/>
        </w:rPr>
        <w:t>I</w:t>
      </w:r>
      <w:r w:rsidRPr="007C4B78">
        <w:rPr>
          <w:rFonts w:asciiTheme="majorHAnsi" w:eastAsia="Calibri" w:hAnsiTheme="majorHAnsi"/>
        </w:rPr>
        <w:t xml:space="preserve">n cases where </w:t>
      </w:r>
      <w:r w:rsidR="002D4411" w:rsidRPr="007C4B78">
        <w:rPr>
          <w:rFonts w:asciiTheme="majorHAnsi" w:eastAsia="Calibri" w:hAnsiTheme="majorHAnsi"/>
        </w:rPr>
        <w:t>the parents are not married and have a</w:t>
      </w:r>
      <w:r w:rsidRPr="007C4B78">
        <w:rPr>
          <w:rFonts w:asciiTheme="majorHAnsi" w:eastAsia="Calibri" w:hAnsiTheme="majorHAnsi"/>
        </w:rPr>
        <w:t xml:space="preserve"> child</w:t>
      </w:r>
      <w:r w:rsidR="00802BCE" w:rsidRPr="007C4B78">
        <w:rPr>
          <w:rFonts w:asciiTheme="majorHAnsi" w:eastAsia="Calibri" w:hAnsiTheme="majorHAnsi"/>
        </w:rPr>
        <w:t>;</w:t>
      </w:r>
      <w:r w:rsidR="00990808" w:rsidRPr="007C4B78">
        <w:rPr>
          <w:rFonts w:asciiTheme="majorHAnsi" w:eastAsia="Calibri" w:hAnsiTheme="majorHAnsi"/>
        </w:rPr>
        <w:t xml:space="preserve"> civil partners, </w:t>
      </w:r>
      <w:r w:rsidR="00802BCE" w:rsidRPr="007C4B78">
        <w:rPr>
          <w:rFonts w:asciiTheme="majorHAnsi" w:eastAsia="Calibri" w:hAnsiTheme="majorHAnsi"/>
        </w:rPr>
        <w:t xml:space="preserve">or a </w:t>
      </w:r>
      <w:r w:rsidR="00990808" w:rsidRPr="007C4B78">
        <w:rPr>
          <w:rFonts w:asciiTheme="majorHAnsi" w:eastAsia="Calibri" w:hAnsiTheme="majorHAnsi"/>
        </w:rPr>
        <w:t xml:space="preserve">cohabitating partner of no less than 12 </w:t>
      </w:r>
      <w:r w:rsidR="00F63097" w:rsidRPr="007C4B78">
        <w:rPr>
          <w:rFonts w:asciiTheme="majorHAnsi" w:eastAsia="Calibri" w:hAnsiTheme="majorHAnsi"/>
        </w:rPr>
        <w:t>months</w:t>
      </w:r>
      <w:r w:rsidR="00802BCE" w:rsidRPr="007C4B78">
        <w:rPr>
          <w:rFonts w:asciiTheme="majorHAnsi" w:eastAsia="Calibri" w:hAnsiTheme="majorHAnsi"/>
        </w:rPr>
        <w:t xml:space="preserve">, </w:t>
      </w:r>
      <w:r w:rsidR="00F63097" w:rsidRPr="007C4B78">
        <w:rPr>
          <w:rFonts w:asciiTheme="majorHAnsi" w:eastAsia="Calibri" w:hAnsiTheme="majorHAnsi"/>
        </w:rPr>
        <w:t>as</w:t>
      </w:r>
      <w:r w:rsidR="00990808" w:rsidRPr="007C4B78">
        <w:rPr>
          <w:rFonts w:asciiTheme="majorHAnsi" w:eastAsia="Calibri" w:hAnsiTheme="majorHAnsi"/>
        </w:rPr>
        <w:t xml:space="preserve"> well joint declarants may be</w:t>
      </w:r>
      <w:r w:rsidR="00802BCE" w:rsidRPr="007C4B78">
        <w:rPr>
          <w:rFonts w:asciiTheme="majorHAnsi" w:eastAsia="Calibri" w:hAnsiTheme="majorHAnsi"/>
        </w:rPr>
        <w:t xml:space="preserve"> appointed</w:t>
      </w:r>
      <w:r w:rsidR="00990808" w:rsidRPr="007C4B78">
        <w:rPr>
          <w:rFonts w:asciiTheme="majorHAnsi" w:eastAsia="Calibri" w:hAnsiTheme="majorHAnsi"/>
        </w:rPr>
        <w:t xml:space="preserve"> guardians.</w:t>
      </w:r>
      <w:r w:rsidR="00990808" w:rsidRPr="007C4B78">
        <w:rPr>
          <w:rStyle w:val="FootnoteReference"/>
          <w:rFonts w:asciiTheme="majorHAnsi" w:eastAsia="Calibri" w:hAnsiTheme="majorHAnsi"/>
        </w:rPr>
        <w:footnoteReference w:id="163"/>
      </w:r>
      <w:r w:rsidRPr="007C4B78">
        <w:rPr>
          <w:rFonts w:asciiTheme="majorHAnsi" w:eastAsia="Calibri" w:hAnsiTheme="majorHAnsi"/>
        </w:rPr>
        <w:t xml:space="preserve"> In making any determination relating to the custody</w:t>
      </w:r>
      <w:r w:rsidR="00F63097" w:rsidRPr="007C4B78">
        <w:rPr>
          <w:rFonts w:asciiTheme="majorHAnsi" w:eastAsia="Calibri" w:hAnsiTheme="majorHAnsi"/>
        </w:rPr>
        <w:t>, upbringing, access</w:t>
      </w:r>
      <w:r w:rsidRPr="007C4B78">
        <w:rPr>
          <w:rFonts w:asciiTheme="majorHAnsi" w:eastAsia="Calibri" w:hAnsiTheme="majorHAnsi"/>
        </w:rPr>
        <w:t xml:space="preserve"> or guardianship of a child the </w:t>
      </w:r>
      <w:r w:rsidR="00F63097" w:rsidRPr="007C4B78">
        <w:rPr>
          <w:rFonts w:asciiTheme="majorHAnsi" w:eastAsia="Calibri" w:hAnsiTheme="majorHAnsi"/>
        </w:rPr>
        <w:t>court “shall regard the best interests of the child as the paramount consideration.</w:t>
      </w:r>
      <w:r w:rsidR="00F63097" w:rsidRPr="007C4B78">
        <w:rPr>
          <w:rStyle w:val="FootnoteReference"/>
          <w:rFonts w:asciiTheme="majorHAnsi" w:eastAsia="Calibri" w:hAnsiTheme="majorHAnsi"/>
        </w:rPr>
        <w:footnoteReference w:id="164"/>
      </w:r>
      <w:r w:rsidR="00AB393E" w:rsidRPr="007C4B78">
        <w:rPr>
          <w:rFonts w:asciiTheme="majorHAnsi" w:eastAsia="Calibri" w:hAnsiTheme="majorHAnsi"/>
        </w:rPr>
        <w:t xml:space="preserve"> According to Mahon and Moore, i</w:t>
      </w:r>
      <w:r w:rsidR="0096093C" w:rsidRPr="007C4B78">
        <w:rPr>
          <w:rFonts w:asciiTheme="majorHAnsi" w:eastAsia="Calibri" w:hAnsiTheme="majorHAnsi"/>
        </w:rPr>
        <w:t xml:space="preserve">oint custody is </w:t>
      </w:r>
      <w:r w:rsidR="00AB393E" w:rsidRPr="007C4B78">
        <w:rPr>
          <w:rFonts w:asciiTheme="majorHAnsi" w:eastAsia="Calibri" w:hAnsiTheme="majorHAnsi"/>
        </w:rPr>
        <w:t>now the</w:t>
      </w:r>
      <w:r w:rsidR="0096093C" w:rsidRPr="007C4B78">
        <w:rPr>
          <w:rFonts w:asciiTheme="majorHAnsi" w:eastAsia="Calibri" w:hAnsiTheme="majorHAnsi"/>
        </w:rPr>
        <w:t xml:space="preserve"> norm in Ireland.</w:t>
      </w:r>
      <w:r w:rsidR="0096093C" w:rsidRPr="007C4B78">
        <w:rPr>
          <w:rStyle w:val="FootnoteReference"/>
          <w:rFonts w:asciiTheme="majorHAnsi" w:eastAsia="Calibri" w:hAnsiTheme="majorHAnsi"/>
        </w:rPr>
        <w:footnoteReference w:id="165"/>
      </w:r>
    </w:p>
    <w:p w14:paraId="15319AA9" w14:textId="77777777" w:rsidR="00D657C0" w:rsidRPr="007C4B78" w:rsidRDefault="00D657C0" w:rsidP="004D12C3">
      <w:pPr>
        <w:jc w:val="both"/>
        <w:rPr>
          <w:rFonts w:asciiTheme="majorHAnsi" w:eastAsia="Calibri" w:hAnsiTheme="majorHAnsi"/>
        </w:rPr>
      </w:pPr>
    </w:p>
    <w:p w14:paraId="2B06FECB" w14:textId="77777777" w:rsidR="00DE507F" w:rsidRPr="007C4B78" w:rsidRDefault="00802BCE" w:rsidP="004D12C3">
      <w:pPr>
        <w:pStyle w:val="task"/>
        <w:tabs>
          <w:tab w:val="clear" w:pos="680"/>
        </w:tabs>
        <w:ind w:left="0" w:firstLine="0"/>
        <w:jc w:val="both"/>
        <w:rPr>
          <w:rFonts w:asciiTheme="majorHAnsi" w:hAnsiTheme="majorHAnsi"/>
        </w:rPr>
      </w:pPr>
      <w:r w:rsidRPr="007C4B78">
        <w:rPr>
          <w:rFonts w:asciiTheme="majorHAnsi" w:hAnsiTheme="majorHAnsi"/>
        </w:rPr>
        <w:t>T</w:t>
      </w:r>
      <w:r w:rsidR="00D657C0" w:rsidRPr="007C4B78">
        <w:rPr>
          <w:rFonts w:asciiTheme="majorHAnsi" w:hAnsiTheme="majorHAnsi"/>
        </w:rPr>
        <w:t>here is no set procedure to hear th</w:t>
      </w:r>
      <w:r w:rsidR="00BB1B6C" w:rsidRPr="007C4B78">
        <w:rPr>
          <w:rFonts w:asciiTheme="majorHAnsi" w:hAnsiTheme="majorHAnsi"/>
        </w:rPr>
        <w:t xml:space="preserve">e voice of the child in custody </w:t>
      </w:r>
      <w:r w:rsidR="00D657C0" w:rsidRPr="007C4B78">
        <w:rPr>
          <w:rFonts w:asciiTheme="majorHAnsi" w:hAnsiTheme="majorHAnsi"/>
        </w:rPr>
        <w:t>or guardianship proceedings</w:t>
      </w:r>
      <w:r w:rsidRPr="007C4B78">
        <w:rPr>
          <w:rFonts w:asciiTheme="majorHAnsi" w:hAnsiTheme="majorHAnsi"/>
        </w:rPr>
        <w:t xml:space="preserve"> in Ireland</w:t>
      </w:r>
      <w:r w:rsidR="00D657C0" w:rsidRPr="007C4B78">
        <w:rPr>
          <w:rFonts w:asciiTheme="majorHAnsi" w:hAnsiTheme="majorHAnsi"/>
        </w:rPr>
        <w:t xml:space="preserve">. </w:t>
      </w:r>
      <w:r w:rsidR="00BB1B6C" w:rsidRPr="007C4B78">
        <w:rPr>
          <w:rFonts w:asciiTheme="majorHAnsi" w:hAnsiTheme="majorHAnsi"/>
        </w:rPr>
        <w:t xml:space="preserve">Part III of the Children Act 1997 gives guidance on how children ‘may’ provide evidence, including by giving testimony via video-link etc. </w:t>
      </w:r>
    </w:p>
    <w:p w14:paraId="46696A77" w14:textId="77777777" w:rsidR="00DE507F" w:rsidRPr="007C4B78" w:rsidRDefault="00DE507F" w:rsidP="004D12C3">
      <w:pPr>
        <w:pStyle w:val="task"/>
        <w:tabs>
          <w:tab w:val="clear" w:pos="680"/>
        </w:tabs>
        <w:ind w:left="0" w:firstLine="0"/>
        <w:jc w:val="both"/>
        <w:rPr>
          <w:rFonts w:asciiTheme="majorHAnsi" w:hAnsiTheme="majorHAnsi"/>
        </w:rPr>
      </w:pPr>
    </w:p>
    <w:p w14:paraId="55264453" w14:textId="77777777" w:rsidR="00DE507F" w:rsidRPr="007C4B78" w:rsidRDefault="00DE507F" w:rsidP="004D12C3">
      <w:pPr>
        <w:jc w:val="both"/>
        <w:rPr>
          <w:rFonts w:asciiTheme="majorHAnsi" w:eastAsia="Calibri" w:hAnsiTheme="majorHAnsi"/>
        </w:rPr>
      </w:pPr>
      <w:r w:rsidRPr="007C4B78">
        <w:rPr>
          <w:rFonts w:asciiTheme="majorHAnsi" w:eastAsia="Calibri" w:hAnsiTheme="majorHAnsi"/>
        </w:rPr>
        <w:t>One unreported case on custody and access in Ireland resulted in the judge dismissing the children’s preference as voiced by the father stating, “</w:t>
      </w:r>
      <w:r w:rsidRPr="007C4B78">
        <w:rPr>
          <w:rFonts w:asciiTheme="majorHAnsi" w:eastAsia="Times New Roman" w:hAnsiTheme="majorHAnsi"/>
        </w:rPr>
        <w:t>Parents should not tell the truth to children in a detailed and age-inappropriate way such as to be of the adverse interests of the child or putting adverse pressure either directly or indirectly on the children in relation to them sustaining a good relationship with both parents after the divorce,” and found that the father’s communication with the children was inappropriate and damaging.</w:t>
      </w:r>
      <w:r w:rsidRPr="007C4B78">
        <w:rPr>
          <w:rStyle w:val="FootnoteReference"/>
          <w:rFonts w:asciiTheme="majorHAnsi" w:eastAsia="Times New Roman" w:hAnsiTheme="majorHAnsi"/>
        </w:rPr>
        <w:footnoteReference w:id="166"/>
      </w:r>
    </w:p>
    <w:p w14:paraId="38180FFA" w14:textId="77777777" w:rsidR="00DE507F" w:rsidRPr="007C4B78" w:rsidRDefault="00DE507F" w:rsidP="004D12C3">
      <w:pPr>
        <w:pStyle w:val="task"/>
        <w:tabs>
          <w:tab w:val="clear" w:pos="680"/>
          <w:tab w:val="left" w:pos="6210"/>
        </w:tabs>
        <w:ind w:left="0" w:firstLine="0"/>
        <w:jc w:val="both"/>
        <w:rPr>
          <w:rFonts w:asciiTheme="majorHAnsi" w:hAnsiTheme="majorHAnsi"/>
        </w:rPr>
      </w:pPr>
      <w:r w:rsidRPr="007C4B78">
        <w:rPr>
          <w:rFonts w:asciiTheme="majorHAnsi" w:hAnsiTheme="majorHAnsi"/>
        </w:rPr>
        <w:tab/>
      </w:r>
    </w:p>
    <w:p w14:paraId="0E29ABE9" w14:textId="77777777" w:rsidR="00BB1B6C" w:rsidRPr="007C4B78" w:rsidRDefault="00BB1B6C" w:rsidP="004D12C3">
      <w:pPr>
        <w:pStyle w:val="task"/>
        <w:tabs>
          <w:tab w:val="clear" w:pos="680"/>
        </w:tabs>
        <w:ind w:left="0" w:firstLine="0"/>
        <w:jc w:val="both"/>
        <w:rPr>
          <w:rFonts w:asciiTheme="majorHAnsi" w:hAnsiTheme="majorHAnsi"/>
        </w:rPr>
      </w:pPr>
      <w:r w:rsidRPr="007C4B78">
        <w:rPr>
          <w:rFonts w:asciiTheme="majorHAnsi" w:hAnsiTheme="majorHAnsi"/>
        </w:rPr>
        <w:t xml:space="preserve">Some judges have used Brussels II bis Regulation as justification to speak to children in custody and access cases instead of relying on </w:t>
      </w:r>
      <w:r w:rsidR="00802BCE" w:rsidRPr="007C4B78">
        <w:rPr>
          <w:rFonts w:asciiTheme="majorHAnsi" w:hAnsiTheme="majorHAnsi"/>
        </w:rPr>
        <w:t>written</w:t>
      </w:r>
      <w:r w:rsidRPr="007C4B78">
        <w:rPr>
          <w:rStyle w:val="FootnoteReference"/>
          <w:rFonts w:asciiTheme="majorHAnsi" w:hAnsiTheme="majorHAnsi"/>
        </w:rPr>
        <w:footnoteReference w:id="167"/>
      </w:r>
      <w:r w:rsidRPr="007C4B78">
        <w:rPr>
          <w:rFonts w:asciiTheme="majorHAnsi" w:hAnsiTheme="majorHAnsi"/>
        </w:rPr>
        <w:t xml:space="preserve"> reports</w:t>
      </w:r>
      <w:r w:rsidR="00A400F1" w:rsidRPr="007C4B78">
        <w:rPr>
          <w:rFonts w:asciiTheme="majorHAnsi" w:hAnsiTheme="majorHAnsi"/>
        </w:rPr>
        <w:t>, as provided under section 47 of the Children Act</w:t>
      </w:r>
      <w:r w:rsidRPr="007C4B78">
        <w:rPr>
          <w:rFonts w:asciiTheme="majorHAnsi" w:hAnsiTheme="majorHAnsi"/>
        </w:rPr>
        <w:t>.</w:t>
      </w:r>
      <w:r w:rsidRPr="007C4B78">
        <w:rPr>
          <w:rStyle w:val="FootnoteReference"/>
          <w:rFonts w:asciiTheme="majorHAnsi" w:hAnsiTheme="majorHAnsi"/>
        </w:rPr>
        <w:footnoteReference w:id="168"/>
      </w:r>
      <w:r w:rsidR="00802BCE" w:rsidRPr="007C4B78">
        <w:rPr>
          <w:rFonts w:asciiTheme="majorHAnsi" w:hAnsiTheme="majorHAnsi"/>
        </w:rPr>
        <w:t>In a 2008 case in the High Court, the judge the</w:t>
      </w:r>
      <w:r w:rsidRPr="007C4B78">
        <w:rPr>
          <w:rFonts w:asciiTheme="majorHAnsi" w:hAnsiTheme="majorHAnsi"/>
        </w:rPr>
        <w:t xml:space="preserve"> set </w:t>
      </w:r>
      <w:r w:rsidR="00802BCE" w:rsidRPr="007C4B78">
        <w:rPr>
          <w:rFonts w:asciiTheme="majorHAnsi" w:hAnsiTheme="majorHAnsi"/>
        </w:rPr>
        <w:t xml:space="preserve">out </w:t>
      </w:r>
      <w:r w:rsidRPr="007C4B78">
        <w:rPr>
          <w:rFonts w:asciiTheme="majorHAnsi" w:hAnsiTheme="majorHAnsi"/>
        </w:rPr>
        <w:t xml:space="preserve">guidelines for </w:t>
      </w:r>
      <w:r w:rsidR="00802BCE" w:rsidRPr="007C4B78">
        <w:rPr>
          <w:rFonts w:asciiTheme="majorHAnsi" w:hAnsiTheme="majorHAnsi"/>
        </w:rPr>
        <w:t>hearing</w:t>
      </w:r>
      <w:r w:rsidR="00AB393E" w:rsidRPr="007C4B78">
        <w:rPr>
          <w:rFonts w:asciiTheme="majorHAnsi" w:hAnsiTheme="majorHAnsi"/>
        </w:rPr>
        <w:t xml:space="preserve"> children in custody </w:t>
      </w:r>
      <w:proofErr w:type="gramStart"/>
      <w:r w:rsidR="00AB393E" w:rsidRPr="007C4B78">
        <w:rPr>
          <w:rFonts w:asciiTheme="majorHAnsi" w:hAnsiTheme="majorHAnsi"/>
        </w:rPr>
        <w:t xml:space="preserve">cases </w:t>
      </w:r>
      <w:r w:rsidRPr="007C4B78">
        <w:rPr>
          <w:rFonts w:asciiTheme="majorHAnsi" w:hAnsiTheme="majorHAnsi"/>
        </w:rPr>
        <w:t>taken</w:t>
      </w:r>
      <w:proofErr w:type="gramEnd"/>
      <w:r w:rsidRPr="007C4B78">
        <w:rPr>
          <w:rFonts w:asciiTheme="majorHAnsi" w:hAnsiTheme="majorHAnsi"/>
        </w:rPr>
        <w:t xml:space="preserve"> from judicial education seminars </w:t>
      </w:r>
      <w:r w:rsidR="00A400F1" w:rsidRPr="007C4B78">
        <w:rPr>
          <w:rFonts w:asciiTheme="majorHAnsi" w:hAnsiTheme="majorHAnsi"/>
        </w:rPr>
        <w:t>as follows</w:t>
      </w:r>
      <w:r w:rsidRPr="007C4B78">
        <w:rPr>
          <w:rFonts w:asciiTheme="majorHAnsi" w:hAnsiTheme="majorHAnsi"/>
        </w:rPr>
        <w:t>.</w:t>
      </w:r>
      <w:r w:rsidRPr="007C4B78">
        <w:rPr>
          <w:rStyle w:val="FootnoteReference"/>
          <w:rFonts w:asciiTheme="majorHAnsi" w:hAnsiTheme="majorHAnsi"/>
        </w:rPr>
        <w:footnoteReference w:id="169"/>
      </w:r>
    </w:p>
    <w:p w14:paraId="6FB4C50F" w14:textId="77777777" w:rsidR="00BB1B6C" w:rsidRPr="007C4B78" w:rsidRDefault="00BB1B6C" w:rsidP="004D12C3">
      <w:pPr>
        <w:pStyle w:val="task"/>
        <w:ind w:left="720" w:firstLine="0"/>
        <w:jc w:val="both"/>
        <w:rPr>
          <w:rFonts w:asciiTheme="majorHAnsi" w:hAnsiTheme="majorHAnsi"/>
        </w:rPr>
      </w:pPr>
    </w:p>
    <w:p w14:paraId="04F8D23B" w14:textId="77777777" w:rsidR="00BB1B6C" w:rsidRPr="007C4B78" w:rsidRDefault="00BB1B6C" w:rsidP="004D12C3">
      <w:pPr>
        <w:pStyle w:val="ListParagraph"/>
        <w:widowControl w:val="0"/>
        <w:tabs>
          <w:tab w:val="left" w:pos="8280"/>
        </w:tabs>
        <w:autoSpaceDE w:val="0"/>
        <w:autoSpaceDN w:val="0"/>
        <w:adjustRightInd w:val="0"/>
        <w:ind w:right="386"/>
        <w:jc w:val="both"/>
        <w:rPr>
          <w:rFonts w:asciiTheme="majorHAnsi" w:eastAsia="Calibri" w:hAnsiTheme="majorHAnsi" w:cs="Verdana"/>
        </w:rPr>
      </w:pPr>
      <w:r w:rsidRPr="007C4B78">
        <w:rPr>
          <w:rFonts w:asciiTheme="majorHAnsi" w:eastAsia="Calibri" w:hAnsiTheme="majorHAnsi" w:cs="Verdana"/>
          <w:szCs w:val="20"/>
        </w:rPr>
        <w:t>“1</w:t>
      </w:r>
      <w:r w:rsidRPr="007C4B78">
        <w:rPr>
          <w:rFonts w:asciiTheme="majorHAnsi" w:eastAsia="Calibri" w:hAnsiTheme="majorHAnsi" w:cs="Verdana"/>
        </w:rPr>
        <w:t xml:space="preserve">. The judge shall be clear about the legislative or forensic framework in which he is embarking on the role of talking to the </w:t>
      </w:r>
      <w:r w:rsidRPr="007C4B78">
        <w:rPr>
          <w:rFonts w:asciiTheme="majorHAnsi" w:eastAsia="Calibri" w:hAnsiTheme="majorHAnsi" w:cs="Verdana"/>
          <w:bCs/>
        </w:rPr>
        <w:t>children</w:t>
      </w:r>
      <w:r w:rsidRPr="007C4B78">
        <w:rPr>
          <w:rFonts w:asciiTheme="majorHAnsi" w:eastAsia="Calibri" w:hAnsiTheme="majorHAnsi" w:cs="Verdana"/>
        </w:rPr>
        <w:t xml:space="preserve"> as different codes may require or only permit different approaches.</w:t>
      </w:r>
    </w:p>
    <w:p w14:paraId="58A5C59F" w14:textId="77777777" w:rsidR="00BB1B6C" w:rsidRPr="007C4B78" w:rsidRDefault="00BB1B6C" w:rsidP="004D12C3">
      <w:pPr>
        <w:pStyle w:val="ListParagraph"/>
        <w:widowControl w:val="0"/>
        <w:autoSpaceDE w:val="0"/>
        <w:autoSpaceDN w:val="0"/>
        <w:adjustRightInd w:val="0"/>
        <w:ind w:right="746"/>
        <w:jc w:val="both"/>
        <w:rPr>
          <w:rFonts w:asciiTheme="majorHAnsi" w:eastAsia="Calibri" w:hAnsiTheme="majorHAnsi" w:cs="Verdana"/>
        </w:rPr>
      </w:pPr>
      <w:r w:rsidRPr="007C4B78">
        <w:rPr>
          <w:rFonts w:asciiTheme="majorHAnsi" w:eastAsia="Calibri" w:hAnsiTheme="majorHAnsi" w:cs="Verdana"/>
        </w:rPr>
        <w:t>2. The judge should never seek to act as an expert and should reach such conclusions from the process as may be justified by common sense only, and the judge</w:t>
      </w:r>
      <w:r w:rsidR="00A400F1" w:rsidRPr="007C4B78">
        <w:rPr>
          <w:rFonts w:asciiTheme="majorHAnsi" w:eastAsia="Calibri" w:hAnsiTheme="majorHAnsi" w:cs="Verdana"/>
        </w:rPr>
        <w:t>’</w:t>
      </w:r>
      <w:r w:rsidRPr="007C4B78">
        <w:rPr>
          <w:rFonts w:asciiTheme="majorHAnsi" w:eastAsia="Calibri" w:hAnsiTheme="majorHAnsi" w:cs="Verdana"/>
        </w:rPr>
        <w:t>s own experience.</w:t>
      </w:r>
    </w:p>
    <w:p w14:paraId="6A9B5AB2" w14:textId="77777777" w:rsidR="00BB1B6C" w:rsidRPr="007C4B78" w:rsidRDefault="00BB1B6C" w:rsidP="004D12C3">
      <w:pPr>
        <w:pStyle w:val="ListParagraph"/>
        <w:widowControl w:val="0"/>
        <w:autoSpaceDE w:val="0"/>
        <w:autoSpaceDN w:val="0"/>
        <w:adjustRightInd w:val="0"/>
        <w:ind w:right="746"/>
        <w:jc w:val="both"/>
        <w:rPr>
          <w:rFonts w:asciiTheme="majorHAnsi" w:eastAsia="Calibri" w:hAnsiTheme="majorHAnsi" w:cs="Verdana"/>
        </w:rPr>
      </w:pPr>
      <w:r w:rsidRPr="007C4B78">
        <w:rPr>
          <w:rFonts w:asciiTheme="majorHAnsi" w:eastAsia="Calibri" w:hAnsiTheme="majorHAnsi" w:cs="Verdana"/>
        </w:rPr>
        <w:t xml:space="preserve">3. The principles of a fair trial and natural justice should be observed by agreeing terms of reference with the parties prior to relying on the record of the meeting with </w:t>
      </w:r>
      <w:r w:rsidRPr="007C4B78">
        <w:rPr>
          <w:rFonts w:asciiTheme="majorHAnsi" w:eastAsia="Calibri" w:hAnsiTheme="majorHAnsi" w:cs="Verdana"/>
          <w:bCs/>
        </w:rPr>
        <w:t>children</w:t>
      </w:r>
      <w:r w:rsidRPr="007C4B78">
        <w:rPr>
          <w:rFonts w:asciiTheme="majorHAnsi" w:eastAsia="Calibri" w:hAnsiTheme="majorHAnsi" w:cs="Verdana"/>
        </w:rPr>
        <w:t>.</w:t>
      </w:r>
    </w:p>
    <w:p w14:paraId="64F35B1E" w14:textId="77777777" w:rsidR="00BB1B6C" w:rsidRPr="007C4B78" w:rsidRDefault="00BB1B6C" w:rsidP="004D12C3">
      <w:pPr>
        <w:pStyle w:val="ListParagraph"/>
        <w:widowControl w:val="0"/>
        <w:autoSpaceDE w:val="0"/>
        <w:autoSpaceDN w:val="0"/>
        <w:adjustRightInd w:val="0"/>
        <w:ind w:right="746"/>
        <w:jc w:val="both"/>
        <w:rPr>
          <w:rFonts w:asciiTheme="majorHAnsi" w:eastAsia="Calibri" w:hAnsiTheme="majorHAnsi" w:cs="Verdana"/>
        </w:rPr>
      </w:pPr>
      <w:r w:rsidRPr="007C4B78">
        <w:rPr>
          <w:rFonts w:asciiTheme="majorHAnsi" w:eastAsia="Calibri" w:hAnsiTheme="majorHAnsi" w:cs="Verdana"/>
        </w:rPr>
        <w:t xml:space="preserve">4. The judge should explain to the </w:t>
      </w:r>
      <w:r w:rsidRPr="007C4B78">
        <w:rPr>
          <w:rFonts w:asciiTheme="majorHAnsi" w:eastAsia="Calibri" w:hAnsiTheme="majorHAnsi" w:cs="Verdana"/>
          <w:bCs/>
        </w:rPr>
        <w:t>children</w:t>
      </w:r>
      <w:r w:rsidRPr="007C4B78">
        <w:rPr>
          <w:rFonts w:asciiTheme="majorHAnsi" w:eastAsia="Calibri" w:hAnsiTheme="majorHAnsi" w:cs="Verdana"/>
        </w:rPr>
        <w:t xml:space="preserve"> the fact that the judge is charged with resolving issues between the parents of the </w:t>
      </w:r>
      <w:r w:rsidRPr="007C4B78">
        <w:rPr>
          <w:rFonts w:asciiTheme="majorHAnsi" w:eastAsia="Calibri" w:hAnsiTheme="majorHAnsi" w:cs="Verdana"/>
          <w:bCs/>
        </w:rPr>
        <w:t>child</w:t>
      </w:r>
      <w:r w:rsidRPr="007C4B78">
        <w:rPr>
          <w:rFonts w:asciiTheme="majorHAnsi" w:eastAsia="Calibri" w:hAnsiTheme="majorHAnsi" w:cs="Verdana"/>
        </w:rPr>
        <w:t xml:space="preserve"> and should reassure the </w:t>
      </w:r>
      <w:r w:rsidRPr="007C4B78">
        <w:rPr>
          <w:rFonts w:asciiTheme="majorHAnsi" w:eastAsia="Calibri" w:hAnsiTheme="majorHAnsi" w:cs="Verdana"/>
          <w:bCs/>
        </w:rPr>
        <w:t>child</w:t>
      </w:r>
      <w:r w:rsidRPr="007C4B78">
        <w:rPr>
          <w:rFonts w:asciiTheme="majorHAnsi" w:eastAsia="Calibri" w:hAnsiTheme="majorHAnsi" w:cs="Verdana"/>
        </w:rPr>
        <w:t xml:space="preserve"> that in speaking to the judge the </w:t>
      </w:r>
      <w:r w:rsidRPr="007C4B78">
        <w:rPr>
          <w:rFonts w:asciiTheme="majorHAnsi" w:eastAsia="Calibri" w:hAnsiTheme="majorHAnsi" w:cs="Verdana"/>
          <w:bCs/>
        </w:rPr>
        <w:t>child</w:t>
      </w:r>
      <w:r w:rsidRPr="007C4B78">
        <w:rPr>
          <w:rFonts w:asciiTheme="majorHAnsi" w:eastAsia="Calibri" w:hAnsiTheme="majorHAnsi" w:cs="Verdana"/>
        </w:rPr>
        <w:t xml:space="preserve"> is not taking on the onus of judging the case itself and should assure the </w:t>
      </w:r>
      <w:r w:rsidRPr="007C4B78">
        <w:rPr>
          <w:rFonts w:ascii="Times New Roman" w:hAnsi="Times New Roman"/>
        </w:rPr>
        <w:t> </w:t>
      </w:r>
      <w:r w:rsidRPr="007C4B78">
        <w:rPr>
          <w:rFonts w:asciiTheme="majorHAnsi" w:eastAsia="Calibri" w:hAnsiTheme="majorHAnsi" w:cs="Verdana"/>
          <w:bCs/>
        </w:rPr>
        <w:t>child</w:t>
      </w:r>
      <w:r w:rsidRPr="007C4B78">
        <w:rPr>
          <w:rFonts w:asciiTheme="majorHAnsi" w:eastAsia="Calibri" w:hAnsiTheme="majorHAnsi" w:cs="Verdana"/>
        </w:rPr>
        <w:t xml:space="preserve"> that while the wishes of </w:t>
      </w:r>
      <w:r w:rsidRPr="007C4B78">
        <w:rPr>
          <w:rFonts w:ascii="Times New Roman" w:hAnsi="Times New Roman"/>
        </w:rPr>
        <w:t> </w:t>
      </w:r>
      <w:r w:rsidRPr="007C4B78">
        <w:rPr>
          <w:rFonts w:asciiTheme="majorHAnsi" w:eastAsia="Calibri" w:hAnsiTheme="majorHAnsi" w:cs="Verdana"/>
          <w:bCs/>
        </w:rPr>
        <w:t>children</w:t>
      </w:r>
      <w:r w:rsidRPr="007C4B78">
        <w:rPr>
          <w:rFonts w:asciiTheme="majorHAnsi" w:eastAsia="Calibri" w:hAnsiTheme="majorHAnsi" w:cs="Verdana"/>
        </w:rPr>
        <w:t xml:space="preserve"> may be taken into consideration by the court, their wishes will not be solely (or necessarily at all,) determinative of the ultimate decision of the court.</w:t>
      </w:r>
    </w:p>
    <w:p w14:paraId="66FB82C9" w14:textId="77777777" w:rsidR="00BB1B6C" w:rsidRPr="007C4B78" w:rsidRDefault="00BB1B6C" w:rsidP="004D12C3">
      <w:pPr>
        <w:pStyle w:val="ListParagraph"/>
        <w:widowControl w:val="0"/>
        <w:autoSpaceDE w:val="0"/>
        <w:autoSpaceDN w:val="0"/>
        <w:adjustRightInd w:val="0"/>
        <w:ind w:right="746"/>
        <w:jc w:val="both"/>
        <w:rPr>
          <w:rFonts w:asciiTheme="majorHAnsi" w:eastAsia="Calibri" w:hAnsiTheme="majorHAnsi" w:cs="Verdana"/>
        </w:rPr>
      </w:pPr>
      <w:r w:rsidRPr="007C4B78">
        <w:rPr>
          <w:rFonts w:asciiTheme="majorHAnsi" w:eastAsia="Calibri" w:hAnsiTheme="majorHAnsi" w:cs="Verdana"/>
        </w:rPr>
        <w:t xml:space="preserve">5. The judge should explain the development of the convention and legislative background relating to the courts in more recent times actively seeking out the </w:t>
      </w:r>
      <w:r w:rsidRPr="007C4B78">
        <w:rPr>
          <w:rFonts w:asciiTheme="majorHAnsi" w:eastAsia="Calibri" w:hAnsiTheme="majorHAnsi" w:cs="Verdana"/>
          <w:bCs/>
        </w:rPr>
        <w:t>voice</w:t>
      </w:r>
      <w:r w:rsidRPr="007C4B78">
        <w:rPr>
          <w:rFonts w:asciiTheme="majorHAnsi" w:eastAsia="Calibri" w:hAnsiTheme="majorHAnsi" w:cs="Verdana"/>
        </w:rPr>
        <w:t xml:space="preserve"> of the </w:t>
      </w:r>
      <w:r w:rsidRPr="007C4B78">
        <w:rPr>
          <w:rFonts w:ascii="Times New Roman" w:hAnsi="Times New Roman"/>
        </w:rPr>
        <w:t> </w:t>
      </w:r>
      <w:r w:rsidRPr="007C4B78">
        <w:rPr>
          <w:rFonts w:asciiTheme="majorHAnsi" w:eastAsia="Calibri" w:hAnsiTheme="majorHAnsi" w:cs="Verdana"/>
          <w:bCs/>
        </w:rPr>
        <w:t>child</w:t>
      </w:r>
      <w:r w:rsidRPr="007C4B78">
        <w:rPr>
          <w:rFonts w:asciiTheme="majorHAnsi" w:eastAsia="Calibri" w:hAnsiTheme="majorHAnsi" w:cs="Verdana"/>
        </w:rPr>
        <w:t xml:space="preserve"> in such simple terms as the </w:t>
      </w:r>
      <w:r w:rsidRPr="007C4B78">
        <w:rPr>
          <w:rFonts w:ascii="Times New Roman" w:hAnsi="Times New Roman"/>
        </w:rPr>
        <w:t> </w:t>
      </w:r>
      <w:r w:rsidRPr="007C4B78">
        <w:rPr>
          <w:rFonts w:asciiTheme="majorHAnsi" w:eastAsia="Calibri" w:hAnsiTheme="majorHAnsi" w:cs="Verdana"/>
          <w:bCs/>
        </w:rPr>
        <w:t>child</w:t>
      </w:r>
      <w:r w:rsidRPr="007C4B78">
        <w:rPr>
          <w:rFonts w:asciiTheme="majorHAnsi" w:eastAsia="Calibri" w:hAnsiTheme="majorHAnsi" w:cs="Verdana"/>
        </w:rPr>
        <w:t xml:space="preserve"> may understand.</w:t>
      </w:r>
    </w:p>
    <w:p w14:paraId="59D540A5" w14:textId="77777777" w:rsidR="00BB1B6C" w:rsidRPr="007C4B78" w:rsidRDefault="00BB1B6C" w:rsidP="004D12C3">
      <w:pPr>
        <w:pStyle w:val="ListParagraph"/>
        <w:widowControl w:val="0"/>
        <w:autoSpaceDE w:val="0"/>
        <w:autoSpaceDN w:val="0"/>
        <w:adjustRightInd w:val="0"/>
        <w:ind w:right="386"/>
        <w:jc w:val="both"/>
        <w:rPr>
          <w:rFonts w:asciiTheme="majorHAnsi" w:eastAsia="Calibri" w:hAnsiTheme="majorHAnsi" w:cs="Verdana"/>
        </w:rPr>
      </w:pPr>
      <w:r w:rsidRPr="007C4B78">
        <w:rPr>
          <w:rFonts w:asciiTheme="majorHAnsi" w:eastAsia="Calibri" w:hAnsiTheme="majorHAnsi" w:cs="Verdana"/>
        </w:rPr>
        <w:t xml:space="preserve">6. The court should, at an early stage ascertain whether the age and maturity of the </w:t>
      </w:r>
      <w:r w:rsidRPr="007C4B78">
        <w:rPr>
          <w:rFonts w:asciiTheme="majorHAnsi" w:eastAsia="Calibri" w:hAnsiTheme="majorHAnsi" w:cs="Verdana"/>
          <w:bCs/>
        </w:rPr>
        <w:t>child</w:t>
      </w:r>
      <w:r w:rsidRPr="007C4B78">
        <w:rPr>
          <w:rFonts w:asciiTheme="majorHAnsi" w:eastAsia="Calibri" w:hAnsiTheme="majorHAnsi" w:cs="Verdana"/>
        </w:rPr>
        <w:t xml:space="preserve"> is such as to necessitate hearing the </w:t>
      </w:r>
      <w:r w:rsidRPr="007C4B78">
        <w:rPr>
          <w:rFonts w:ascii="Times New Roman" w:hAnsi="Times New Roman"/>
        </w:rPr>
        <w:t> </w:t>
      </w:r>
      <w:r w:rsidRPr="007C4B78">
        <w:rPr>
          <w:rFonts w:asciiTheme="majorHAnsi" w:eastAsia="Calibri" w:hAnsiTheme="majorHAnsi" w:cs="Verdana"/>
          <w:bCs/>
        </w:rPr>
        <w:t>voice</w:t>
      </w:r>
      <w:r w:rsidRPr="007C4B78">
        <w:rPr>
          <w:rFonts w:asciiTheme="majorHAnsi" w:eastAsia="Calibri" w:hAnsiTheme="majorHAnsi" w:cs="Verdana"/>
        </w:rPr>
        <w:t xml:space="preserve"> of the </w:t>
      </w:r>
      <w:r w:rsidRPr="007C4B78">
        <w:rPr>
          <w:rFonts w:ascii="Times New Roman" w:hAnsi="Times New Roman"/>
        </w:rPr>
        <w:t> </w:t>
      </w:r>
      <w:r w:rsidRPr="007C4B78">
        <w:rPr>
          <w:rFonts w:asciiTheme="majorHAnsi" w:eastAsia="Calibri" w:hAnsiTheme="majorHAnsi" w:cs="Verdana"/>
          <w:bCs/>
        </w:rPr>
        <w:t>child</w:t>
      </w:r>
      <w:r w:rsidRPr="007C4B78">
        <w:rPr>
          <w:rFonts w:asciiTheme="majorHAnsi" w:eastAsia="Calibri" w:hAnsiTheme="majorHAnsi" w:cs="Verdana"/>
        </w:rPr>
        <w:t xml:space="preserve">. In most cases the parents in dispute in the litigation are likely to assist and agree on this aspect. In the absence of such agreement then it is advisable for the court to seek expert advice from the s. 47 </w:t>
      </w:r>
      <w:proofErr w:type="gramStart"/>
      <w:r w:rsidRPr="007C4B78">
        <w:rPr>
          <w:rFonts w:asciiTheme="majorHAnsi" w:eastAsia="Calibri" w:hAnsiTheme="majorHAnsi" w:cs="Verdana"/>
        </w:rPr>
        <w:t>procedure</w:t>
      </w:r>
      <w:proofErr w:type="gramEnd"/>
      <w:r w:rsidRPr="007C4B78">
        <w:rPr>
          <w:rFonts w:asciiTheme="majorHAnsi" w:eastAsia="Calibri" w:hAnsiTheme="majorHAnsi" w:cs="Verdana"/>
        </w:rPr>
        <w:t>, unless of course such qualification is patently obvious.</w:t>
      </w:r>
    </w:p>
    <w:p w14:paraId="651DDBCC" w14:textId="77777777" w:rsidR="00BB1B6C" w:rsidRPr="007C4B78" w:rsidRDefault="00BB1B6C" w:rsidP="004D12C3">
      <w:pPr>
        <w:pStyle w:val="ListParagraph"/>
        <w:widowControl w:val="0"/>
        <w:autoSpaceDE w:val="0"/>
        <w:autoSpaceDN w:val="0"/>
        <w:adjustRightInd w:val="0"/>
        <w:ind w:right="386"/>
        <w:jc w:val="both"/>
        <w:rPr>
          <w:rFonts w:asciiTheme="majorHAnsi" w:eastAsia="Calibri" w:hAnsiTheme="majorHAnsi" w:cs="Verdana"/>
        </w:rPr>
      </w:pPr>
      <w:r w:rsidRPr="007C4B78">
        <w:rPr>
          <w:rFonts w:asciiTheme="majorHAnsi" w:eastAsia="Calibri" w:hAnsiTheme="majorHAnsi" w:cs="Verdana"/>
        </w:rPr>
        <w:t xml:space="preserve">7. The court should avoid a situation where the </w:t>
      </w:r>
      <w:r w:rsidRPr="007C4B78">
        <w:rPr>
          <w:rFonts w:asciiTheme="majorHAnsi" w:eastAsia="Calibri" w:hAnsiTheme="majorHAnsi" w:cs="Verdana"/>
          <w:bCs/>
        </w:rPr>
        <w:t>children</w:t>
      </w:r>
      <w:r w:rsidRPr="007C4B78">
        <w:rPr>
          <w:rFonts w:asciiTheme="majorHAnsi" w:eastAsia="Calibri" w:hAnsiTheme="majorHAnsi" w:cs="Verdana"/>
        </w:rPr>
        <w:t xml:space="preserve"> speak in </w:t>
      </w:r>
      <w:r w:rsidRPr="007C4B78">
        <w:rPr>
          <w:rFonts w:asciiTheme="majorHAnsi" w:eastAsia="Calibri" w:hAnsiTheme="majorHAnsi" w:cs="Verdana"/>
        </w:rPr>
        <w:lastRenderedPageBreak/>
        <w:t xml:space="preserve">confidence to the court unless of course the parents agree. </w:t>
      </w:r>
      <w:r w:rsidR="00464197" w:rsidRPr="007C4B78">
        <w:rPr>
          <w:rFonts w:asciiTheme="majorHAnsi" w:eastAsia="Calibri" w:hAnsiTheme="majorHAnsi" w:cs="Verdana"/>
        </w:rPr>
        <w:t xml:space="preserve">In this case </w:t>
      </w:r>
      <w:proofErr w:type="gramStart"/>
      <w:r w:rsidR="00464197" w:rsidRPr="007C4B78">
        <w:rPr>
          <w:rFonts w:asciiTheme="majorHAnsi" w:eastAsia="Calibri" w:hAnsiTheme="majorHAnsi" w:cs="Verdana"/>
        </w:rPr>
        <w:t xml:space="preserve">the  </w:t>
      </w:r>
      <w:r w:rsidR="00464197" w:rsidRPr="007C4B78">
        <w:rPr>
          <w:rFonts w:asciiTheme="majorHAnsi" w:eastAsia="Calibri" w:hAnsiTheme="majorHAnsi" w:cs="Verdana"/>
          <w:bCs/>
        </w:rPr>
        <w:t>children</w:t>
      </w:r>
      <w:proofErr w:type="gramEnd"/>
      <w:r w:rsidR="00464197" w:rsidRPr="007C4B78">
        <w:rPr>
          <w:rFonts w:asciiTheme="majorHAnsi" w:eastAsia="Calibri" w:hAnsiTheme="majorHAnsi" w:cs="Verdana"/>
        </w:rPr>
        <w:t xml:space="preserve"> sought such confidence and I agreed to give it them subject to the stenographer and registrar recording same. </w:t>
      </w:r>
      <w:r w:rsidRPr="007C4B78">
        <w:rPr>
          <w:rFonts w:asciiTheme="majorHAnsi" w:eastAsia="Calibri" w:hAnsiTheme="majorHAnsi" w:cs="Verdana"/>
        </w:rPr>
        <w:t xml:space="preserve">Such a course, while very desirable from the </w:t>
      </w:r>
      <w:r w:rsidRPr="007C4B78">
        <w:rPr>
          <w:rFonts w:ascii="Times New Roman" w:hAnsi="Times New Roman"/>
        </w:rPr>
        <w:t> </w:t>
      </w:r>
      <w:r w:rsidRPr="007C4B78">
        <w:rPr>
          <w:rFonts w:asciiTheme="majorHAnsi" w:eastAsia="Calibri" w:hAnsiTheme="majorHAnsi" w:cs="Verdana"/>
          <w:bCs/>
        </w:rPr>
        <w:t>child's</w:t>
      </w:r>
      <w:r w:rsidRPr="007C4B78">
        <w:rPr>
          <w:rFonts w:asciiTheme="majorHAnsi" w:eastAsia="Calibri" w:hAnsiTheme="majorHAnsi" w:cs="Verdana"/>
        </w:rPr>
        <w:t xml:space="preserve"> point of view is generally not consistent with the proper forensic progression of a case unless the parents in the litigation are informed and do not object, as was the situation in this case.”</w:t>
      </w:r>
      <w:r w:rsidRPr="007C4B78">
        <w:rPr>
          <w:rStyle w:val="FootnoteReference"/>
          <w:rFonts w:asciiTheme="majorHAnsi" w:eastAsia="Calibri" w:hAnsiTheme="majorHAnsi" w:cs="Verdana"/>
        </w:rPr>
        <w:footnoteReference w:id="170"/>
      </w:r>
    </w:p>
    <w:p w14:paraId="4586037D" w14:textId="77777777" w:rsidR="00046554" w:rsidRPr="007C4B78" w:rsidRDefault="00046554" w:rsidP="004D12C3">
      <w:pPr>
        <w:pStyle w:val="task"/>
        <w:ind w:left="360" w:firstLine="0"/>
        <w:jc w:val="both"/>
        <w:rPr>
          <w:rFonts w:asciiTheme="majorHAnsi" w:hAnsiTheme="majorHAnsi"/>
        </w:rPr>
      </w:pPr>
    </w:p>
    <w:p w14:paraId="4140BF35" w14:textId="77777777" w:rsidR="00046554" w:rsidRPr="007C4B78" w:rsidRDefault="00EB2778"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t xml:space="preserve">Despite </w:t>
      </w:r>
      <w:r w:rsidR="00A400F1" w:rsidRPr="007C4B78">
        <w:rPr>
          <w:rFonts w:asciiTheme="majorHAnsi" w:hAnsiTheme="majorHAnsi"/>
        </w:rPr>
        <w:t xml:space="preserve">this </w:t>
      </w:r>
      <w:r w:rsidRPr="007C4B78">
        <w:rPr>
          <w:rFonts w:asciiTheme="majorHAnsi" w:hAnsiTheme="majorHAnsi"/>
        </w:rPr>
        <w:t>ruling</w:t>
      </w:r>
      <w:r w:rsidR="00A400F1" w:rsidRPr="007C4B78">
        <w:rPr>
          <w:rFonts w:asciiTheme="majorHAnsi" w:hAnsiTheme="majorHAnsi"/>
        </w:rPr>
        <w:t>,</w:t>
      </w:r>
      <w:r w:rsidRPr="007C4B78">
        <w:rPr>
          <w:rFonts w:asciiTheme="majorHAnsi" w:hAnsiTheme="majorHAnsi"/>
        </w:rPr>
        <w:t xml:space="preserve"> children are rarely heard in private family law proceedings.</w:t>
      </w:r>
      <w:r w:rsidRPr="007C4B78">
        <w:rPr>
          <w:rStyle w:val="FootnoteReference"/>
          <w:rFonts w:asciiTheme="majorHAnsi" w:hAnsiTheme="majorHAnsi"/>
        </w:rPr>
        <w:footnoteReference w:id="171"/>
      </w:r>
      <w:r w:rsidR="00AB393E" w:rsidRPr="007C4B78">
        <w:rPr>
          <w:rFonts w:asciiTheme="majorHAnsi" w:hAnsiTheme="majorHAnsi"/>
        </w:rPr>
        <w:t xml:space="preserve"> </w:t>
      </w:r>
      <w:r w:rsidR="00046554" w:rsidRPr="007C4B78">
        <w:rPr>
          <w:rFonts w:asciiTheme="majorHAnsi" w:hAnsiTheme="majorHAnsi"/>
        </w:rPr>
        <w:t xml:space="preserve">Justice Michael White has written </w:t>
      </w:r>
      <w:r w:rsidRPr="007C4B78">
        <w:rPr>
          <w:rFonts w:asciiTheme="majorHAnsi" w:hAnsiTheme="majorHAnsi"/>
        </w:rPr>
        <w:t>a detailed paper</w:t>
      </w:r>
      <w:r w:rsidR="00AB393E" w:rsidRPr="007C4B78">
        <w:rPr>
          <w:rFonts w:asciiTheme="majorHAnsi" w:hAnsiTheme="majorHAnsi"/>
        </w:rPr>
        <w:t xml:space="preserve"> </w:t>
      </w:r>
      <w:r w:rsidRPr="007C4B78">
        <w:rPr>
          <w:rFonts w:asciiTheme="majorHAnsi" w:hAnsiTheme="majorHAnsi"/>
        </w:rPr>
        <w:t xml:space="preserve">on how international and state </w:t>
      </w:r>
      <w:r w:rsidR="00046554" w:rsidRPr="007C4B78">
        <w:rPr>
          <w:rFonts w:asciiTheme="majorHAnsi" w:hAnsiTheme="majorHAnsi"/>
        </w:rPr>
        <w:t>legislation and court cases make space for the voice of the child in family law proceedings in Ireland.</w:t>
      </w:r>
      <w:r w:rsidR="00046554" w:rsidRPr="007C4B78">
        <w:rPr>
          <w:rStyle w:val="FootnoteReference"/>
          <w:rFonts w:asciiTheme="majorHAnsi" w:hAnsiTheme="majorHAnsi"/>
        </w:rPr>
        <w:footnoteReference w:id="172"/>
      </w:r>
    </w:p>
    <w:p w14:paraId="6BF42433" w14:textId="77777777" w:rsidR="00EB2778" w:rsidRPr="007C4B78" w:rsidRDefault="00EB2778" w:rsidP="004D12C3">
      <w:pPr>
        <w:pStyle w:val="task"/>
        <w:tabs>
          <w:tab w:val="clear" w:pos="680"/>
          <w:tab w:val="left" w:pos="0"/>
        </w:tabs>
        <w:ind w:left="0" w:firstLine="0"/>
        <w:jc w:val="both"/>
        <w:rPr>
          <w:rFonts w:asciiTheme="majorHAnsi" w:hAnsiTheme="majorHAnsi"/>
        </w:rPr>
      </w:pPr>
    </w:p>
    <w:p w14:paraId="101DB177" w14:textId="77777777" w:rsidR="00BB1B6C" w:rsidRPr="007C4B78" w:rsidRDefault="00BB1B6C" w:rsidP="004D12C3">
      <w:pPr>
        <w:pStyle w:val="task"/>
        <w:tabs>
          <w:tab w:val="clear" w:pos="680"/>
        </w:tabs>
        <w:ind w:left="0" w:firstLine="0"/>
        <w:jc w:val="both"/>
        <w:rPr>
          <w:rFonts w:asciiTheme="majorHAnsi" w:hAnsiTheme="majorHAnsi"/>
        </w:rPr>
      </w:pPr>
      <w:r w:rsidRPr="007C4B78">
        <w:rPr>
          <w:rFonts w:asciiTheme="majorHAnsi" w:hAnsiTheme="majorHAnsi"/>
        </w:rPr>
        <w:t>The law</w:t>
      </w:r>
      <w:r w:rsidR="00A400F1" w:rsidRPr="007C4B78">
        <w:rPr>
          <w:rFonts w:asciiTheme="majorHAnsi" w:hAnsiTheme="majorHAnsi"/>
        </w:rPr>
        <w:t xml:space="preserve"> on </w:t>
      </w:r>
      <w:r w:rsidRPr="007C4B78">
        <w:rPr>
          <w:rFonts w:asciiTheme="majorHAnsi" w:hAnsiTheme="majorHAnsi"/>
        </w:rPr>
        <w:t>children</w:t>
      </w:r>
      <w:r w:rsidR="00A400F1" w:rsidRPr="007C4B78">
        <w:rPr>
          <w:rFonts w:asciiTheme="majorHAnsi" w:hAnsiTheme="majorHAnsi"/>
        </w:rPr>
        <w:t>’s</w:t>
      </w:r>
      <w:r w:rsidRPr="007C4B78">
        <w:rPr>
          <w:rFonts w:asciiTheme="majorHAnsi" w:hAnsiTheme="majorHAnsi"/>
        </w:rPr>
        <w:t xml:space="preserve"> evidence</w:t>
      </w:r>
      <w:r w:rsidR="00A400F1" w:rsidRPr="007C4B78">
        <w:rPr>
          <w:rFonts w:asciiTheme="majorHAnsi" w:hAnsiTheme="majorHAnsi"/>
        </w:rPr>
        <w:t xml:space="preserve"> in Ireland</w:t>
      </w:r>
      <w:r w:rsidRPr="007C4B78">
        <w:rPr>
          <w:rFonts w:asciiTheme="majorHAnsi" w:hAnsiTheme="majorHAnsi"/>
        </w:rPr>
        <w:t xml:space="preserve"> has no separa</w:t>
      </w:r>
      <w:r w:rsidR="0046754F" w:rsidRPr="007C4B78">
        <w:rPr>
          <w:rFonts w:asciiTheme="majorHAnsi" w:hAnsiTheme="majorHAnsi"/>
        </w:rPr>
        <w:t xml:space="preserve">te provisions for children with </w:t>
      </w:r>
      <w:r w:rsidR="00CF0F5B" w:rsidRPr="007C4B78">
        <w:rPr>
          <w:rFonts w:asciiTheme="majorHAnsi" w:hAnsiTheme="majorHAnsi"/>
        </w:rPr>
        <w:t>cognitive disabilities</w:t>
      </w:r>
      <w:r w:rsidR="00A400F1" w:rsidRPr="007C4B78">
        <w:rPr>
          <w:rFonts w:asciiTheme="majorHAnsi" w:hAnsiTheme="majorHAnsi"/>
        </w:rPr>
        <w:t>;</w:t>
      </w:r>
      <w:r w:rsidRPr="007C4B78">
        <w:rPr>
          <w:rFonts w:asciiTheme="majorHAnsi" w:hAnsiTheme="majorHAnsi"/>
        </w:rPr>
        <w:t xml:space="preserve"> however</w:t>
      </w:r>
      <w:r w:rsidR="00A400F1" w:rsidRPr="007C4B78">
        <w:rPr>
          <w:rFonts w:asciiTheme="majorHAnsi" w:hAnsiTheme="majorHAnsi"/>
        </w:rPr>
        <w:t>,</w:t>
      </w:r>
      <w:r w:rsidRPr="007C4B78">
        <w:rPr>
          <w:rFonts w:asciiTheme="majorHAnsi" w:hAnsiTheme="majorHAnsi"/>
        </w:rPr>
        <w:t xml:space="preserve"> it should be noted that the same law for children applies to adults </w:t>
      </w:r>
      <w:r w:rsidR="00A400F1" w:rsidRPr="007C4B78">
        <w:rPr>
          <w:rFonts w:asciiTheme="majorHAnsi" w:hAnsiTheme="majorHAnsi"/>
        </w:rPr>
        <w:t xml:space="preserve">who have </w:t>
      </w:r>
      <w:r w:rsidRPr="007C4B78">
        <w:rPr>
          <w:rFonts w:asciiTheme="majorHAnsi" w:hAnsiTheme="majorHAnsi"/>
        </w:rPr>
        <w:t>a disability “to such an extent that it is not reasonably possible for the person to live independently.”</w:t>
      </w:r>
      <w:r w:rsidRPr="007C4B78">
        <w:rPr>
          <w:rStyle w:val="FootnoteReference"/>
          <w:rFonts w:asciiTheme="majorHAnsi" w:hAnsiTheme="majorHAnsi"/>
        </w:rPr>
        <w:footnoteReference w:id="173"/>
      </w:r>
      <w:r w:rsidRPr="007C4B78">
        <w:rPr>
          <w:rFonts w:asciiTheme="majorHAnsi" w:hAnsiTheme="majorHAnsi"/>
        </w:rPr>
        <w:t xml:space="preserve"> A study of the implementation of the Convention on the Rights of the Child in twelve countries for UNICEF </w:t>
      </w:r>
      <w:r w:rsidR="00A400F1" w:rsidRPr="007C4B78">
        <w:rPr>
          <w:rFonts w:asciiTheme="majorHAnsi" w:hAnsiTheme="majorHAnsi"/>
        </w:rPr>
        <w:t>suggests that the Irish experience is not unique, as</w:t>
      </w:r>
      <w:r w:rsidRPr="007C4B78">
        <w:rPr>
          <w:rFonts w:asciiTheme="majorHAnsi" w:hAnsiTheme="majorHAnsi"/>
        </w:rPr>
        <w:t xml:space="preserve"> “</w:t>
      </w:r>
      <w:r w:rsidR="00A400F1" w:rsidRPr="007C4B78">
        <w:rPr>
          <w:rFonts w:asciiTheme="majorHAnsi" w:hAnsiTheme="majorHAnsi"/>
        </w:rPr>
        <w:t>c</w:t>
      </w:r>
      <w:r w:rsidRPr="007C4B78">
        <w:rPr>
          <w:rFonts w:asciiTheme="majorHAnsi" w:hAnsiTheme="majorHAnsi"/>
        </w:rPr>
        <w:t>hildren are rarely party to family law proceedings, are only appointed a guardian ad litem in rare cases.”</w:t>
      </w:r>
      <w:r w:rsidRPr="007C4B78">
        <w:rPr>
          <w:rStyle w:val="FootnoteReference"/>
          <w:rFonts w:asciiTheme="majorHAnsi" w:hAnsiTheme="majorHAnsi"/>
        </w:rPr>
        <w:footnoteReference w:id="174"/>
      </w:r>
    </w:p>
    <w:p w14:paraId="5E2DDC4C" w14:textId="77777777" w:rsidR="00CB4CBD" w:rsidRPr="007C4B78" w:rsidRDefault="00CB4CBD" w:rsidP="004D12C3">
      <w:pPr>
        <w:jc w:val="both"/>
        <w:rPr>
          <w:rFonts w:asciiTheme="majorHAnsi" w:eastAsia="Calibri" w:hAnsiTheme="majorHAnsi"/>
        </w:rPr>
      </w:pPr>
    </w:p>
    <w:p w14:paraId="2069470C" w14:textId="77777777" w:rsidR="00CB4CBD" w:rsidRPr="007C4B78" w:rsidRDefault="00CB4CBD" w:rsidP="004D12C3">
      <w:pPr>
        <w:jc w:val="both"/>
        <w:rPr>
          <w:rFonts w:asciiTheme="majorHAnsi" w:eastAsia="Calibri" w:hAnsiTheme="majorHAnsi"/>
        </w:rPr>
      </w:pPr>
      <w:r w:rsidRPr="007C4B78">
        <w:rPr>
          <w:rFonts w:asciiTheme="majorHAnsi" w:eastAsia="Calibri" w:hAnsiTheme="majorHAnsi"/>
        </w:rPr>
        <w:t xml:space="preserve">One judge interviewed </w:t>
      </w:r>
      <w:r w:rsidR="00A400F1" w:rsidRPr="007C4B78">
        <w:rPr>
          <w:rFonts w:asciiTheme="majorHAnsi" w:eastAsia="Calibri" w:hAnsiTheme="majorHAnsi"/>
        </w:rPr>
        <w:t xml:space="preserve">for this project </w:t>
      </w:r>
      <w:r w:rsidRPr="007C4B78">
        <w:rPr>
          <w:rFonts w:asciiTheme="majorHAnsi" w:eastAsia="Calibri" w:hAnsiTheme="majorHAnsi"/>
        </w:rPr>
        <w:t>said that while improvements are being made in public family law pro</w:t>
      </w:r>
      <w:r w:rsidR="00EB2778" w:rsidRPr="007C4B78">
        <w:rPr>
          <w:rFonts w:asciiTheme="majorHAnsi" w:eastAsia="Calibri" w:hAnsiTheme="majorHAnsi"/>
        </w:rPr>
        <w:t>ceedings</w:t>
      </w:r>
      <w:r w:rsidR="002304DD" w:rsidRPr="007C4B78">
        <w:rPr>
          <w:rFonts w:asciiTheme="majorHAnsi" w:eastAsia="Calibri" w:hAnsiTheme="majorHAnsi"/>
        </w:rPr>
        <w:t xml:space="preserve"> (such as care orders)</w:t>
      </w:r>
      <w:r w:rsidR="00EB2778" w:rsidRPr="007C4B78">
        <w:rPr>
          <w:rFonts w:asciiTheme="majorHAnsi" w:eastAsia="Calibri" w:hAnsiTheme="majorHAnsi"/>
        </w:rPr>
        <w:t xml:space="preserve"> there have been no imp</w:t>
      </w:r>
      <w:r w:rsidRPr="007C4B78">
        <w:rPr>
          <w:rFonts w:asciiTheme="majorHAnsi" w:eastAsia="Calibri" w:hAnsiTheme="majorHAnsi"/>
        </w:rPr>
        <w:t>r</w:t>
      </w:r>
      <w:r w:rsidR="00EB2778" w:rsidRPr="007C4B78">
        <w:rPr>
          <w:rFonts w:asciiTheme="majorHAnsi" w:eastAsia="Calibri" w:hAnsiTheme="majorHAnsi"/>
        </w:rPr>
        <w:t>o</w:t>
      </w:r>
      <w:r w:rsidRPr="007C4B78">
        <w:rPr>
          <w:rFonts w:asciiTheme="majorHAnsi" w:eastAsia="Calibri" w:hAnsiTheme="majorHAnsi"/>
        </w:rPr>
        <w:t>vements in private family law</w:t>
      </w:r>
      <w:r w:rsidR="002304DD" w:rsidRPr="007C4B78">
        <w:rPr>
          <w:rFonts w:asciiTheme="majorHAnsi" w:eastAsia="Calibri" w:hAnsiTheme="majorHAnsi"/>
        </w:rPr>
        <w:t xml:space="preserve"> (e.g. in divorce and separation cases involving custody and access decisions)</w:t>
      </w:r>
      <w:r w:rsidRPr="007C4B78">
        <w:rPr>
          <w:rFonts w:asciiTheme="majorHAnsi" w:eastAsia="Calibri" w:hAnsiTheme="majorHAnsi"/>
        </w:rPr>
        <w:t xml:space="preserve"> where children are at risk and that there is an urgent need to improve the system.</w:t>
      </w:r>
      <w:r w:rsidRPr="007C4B78">
        <w:rPr>
          <w:rStyle w:val="FootnoteReference"/>
          <w:rFonts w:asciiTheme="majorHAnsi" w:eastAsia="Calibri" w:hAnsiTheme="majorHAnsi"/>
        </w:rPr>
        <w:footnoteReference w:id="175"/>
      </w:r>
    </w:p>
    <w:p w14:paraId="01D75F5F" w14:textId="77777777" w:rsidR="00161059" w:rsidRPr="007C4B78" w:rsidRDefault="00161059" w:rsidP="004D12C3">
      <w:pPr>
        <w:jc w:val="both"/>
        <w:rPr>
          <w:rFonts w:asciiTheme="majorHAnsi" w:eastAsia="Calibri" w:hAnsiTheme="majorHAnsi"/>
          <w:i/>
          <w:u w:val="single"/>
        </w:rPr>
      </w:pPr>
    </w:p>
    <w:p w14:paraId="3E7261FB" w14:textId="77777777" w:rsidR="00D657C0" w:rsidRPr="007C4B78" w:rsidRDefault="00D657C0" w:rsidP="004D12C3">
      <w:pPr>
        <w:pStyle w:val="Heading3"/>
        <w:jc w:val="both"/>
      </w:pPr>
      <w:bookmarkStart w:id="31" w:name="_Toc417303157"/>
      <w:r w:rsidRPr="007C4B78">
        <w:t>What would access to justice look like in custody</w:t>
      </w:r>
      <w:r w:rsidR="009112FB" w:rsidRPr="007C4B78">
        <w:t xml:space="preserve"> and care</w:t>
      </w:r>
      <w:r w:rsidRPr="007C4B78">
        <w:t xml:space="preserve"> proceedings</w:t>
      </w:r>
      <w:r w:rsidR="00540BF1" w:rsidRPr="007C4B78">
        <w:t>?</w:t>
      </w:r>
      <w:bookmarkEnd w:id="31"/>
    </w:p>
    <w:p w14:paraId="4525A2F1" w14:textId="77777777" w:rsidR="009112FB" w:rsidRPr="007C4B78" w:rsidRDefault="00D657C0" w:rsidP="004D12C3">
      <w:pPr>
        <w:jc w:val="both"/>
        <w:rPr>
          <w:rFonts w:asciiTheme="majorHAnsi" w:eastAsia="Calibri" w:hAnsiTheme="majorHAnsi"/>
        </w:rPr>
      </w:pPr>
      <w:r w:rsidRPr="007C4B78">
        <w:rPr>
          <w:rFonts w:asciiTheme="majorHAnsi" w:eastAsia="Calibri" w:hAnsiTheme="majorHAnsi"/>
        </w:rPr>
        <w:t xml:space="preserve">For Ireland to effectively </w:t>
      </w:r>
      <w:r w:rsidR="00C078C6" w:rsidRPr="007C4B78">
        <w:rPr>
          <w:rFonts w:asciiTheme="majorHAnsi" w:eastAsia="Calibri" w:hAnsiTheme="majorHAnsi"/>
        </w:rPr>
        <w:t>ensure</w:t>
      </w:r>
      <w:r w:rsidRPr="007C4B78">
        <w:rPr>
          <w:rFonts w:asciiTheme="majorHAnsi" w:eastAsia="Calibri" w:hAnsiTheme="majorHAnsi"/>
        </w:rPr>
        <w:t xml:space="preserve"> access to justice for children with cognitive disabilities in </w:t>
      </w:r>
      <w:r w:rsidR="009112FB" w:rsidRPr="007C4B78">
        <w:rPr>
          <w:rFonts w:asciiTheme="majorHAnsi" w:eastAsia="Calibri" w:hAnsiTheme="majorHAnsi"/>
        </w:rPr>
        <w:t xml:space="preserve">care, </w:t>
      </w:r>
      <w:r w:rsidR="00841C5A" w:rsidRPr="007C4B78">
        <w:rPr>
          <w:rFonts w:asciiTheme="majorHAnsi" w:eastAsia="Calibri" w:hAnsiTheme="majorHAnsi"/>
        </w:rPr>
        <w:t xml:space="preserve">guardianship, </w:t>
      </w:r>
      <w:r w:rsidRPr="007C4B78">
        <w:rPr>
          <w:rFonts w:asciiTheme="majorHAnsi" w:eastAsia="Calibri" w:hAnsiTheme="majorHAnsi"/>
        </w:rPr>
        <w:t>custody</w:t>
      </w:r>
      <w:r w:rsidR="00841C5A" w:rsidRPr="007C4B78">
        <w:rPr>
          <w:rFonts w:asciiTheme="majorHAnsi" w:eastAsia="Calibri" w:hAnsiTheme="majorHAnsi"/>
        </w:rPr>
        <w:t xml:space="preserve"> and access</w:t>
      </w:r>
      <w:r w:rsidR="00C078C6" w:rsidRPr="007C4B78">
        <w:rPr>
          <w:rFonts w:asciiTheme="majorHAnsi" w:eastAsia="Calibri" w:hAnsiTheme="majorHAnsi"/>
        </w:rPr>
        <w:t xml:space="preserve"> proceedings, </w:t>
      </w:r>
      <w:r w:rsidRPr="007C4B78">
        <w:rPr>
          <w:rFonts w:asciiTheme="majorHAnsi" w:eastAsia="Calibri" w:hAnsiTheme="majorHAnsi"/>
        </w:rPr>
        <w:t>several changes need to occur. First</w:t>
      </w:r>
      <w:r w:rsidR="00C078C6" w:rsidRPr="007C4B78">
        <w:rPr>
          <w:rFonts w:asciiTheme="majorHAnsi" w:eastAsia="Calibri" w:hAnsiTheme="majorHAnsi"/>
        </w:rPr>
        <w:t>,</w:t>
      </w:r>
      <w:r w:rsidRPr="007C4B78">
        <w:rPr>
          <w:rFonts w:asciiTheme="majorHAnsi" w:eastAsia="Calibri" w:hAnsiTheme="majorHAnsi"/>
        </w:rPr>
        <w:t xml:space="preserve"> the law should designate a space and </w:t>
      </w:r>
      <w:r w:rsidR="00C078C6" w:rsidRPr="007C4B78">
        <w:rPr>
          <w:rFonts w:asciiTheme="majorHAnsi" w:eastAsia="Calibri" w:hAnsiTheme="majorHAnsi"/>
        </w:rPr>
        <w:t>process</w:t>
      </w:r>
      <w:r w:rsidRPr="007C4B78">
        <w:rPr>
          <w:rFonts w:asciiTheme="majorHAnsi" w:eastAsia="Calibri" w:hAnsiTheme="majorHAnsi"/>
        </w:rPr>
        <w:t xml:space="preserve"> for the views of the child to be he</w:t>
      </w:r>
      <w:r w:rsidR="00C078C6" w:rsidRPr="007C4B78">
        <w:rPr>
          <w:rFonts w:asciiTheme="majorHAnsi" w:eastAsia="Calibri" w:hAnsiTheme="majorHAnsi"/>
        </w:rPr>
        <w:t>ard in a way that respects the child’s</w:t>
      </w:r>
      <w:r w:rsidRPr="007C4B78">
        <w:rPr>
          <w:rFonts w:asciiTheme="majorHAnsi" w:eastAsia="Calibri" w:hAnsiTheme="majorHAnsi"/>
        </w:rPr>
        <w:t xml:space="preserve"> age and evolving capacity. Judges should be trained or have access to professionals trained in communicating with all children including children with cognitive disabilities in order to ensure their voices are heard. Information on </w:t>
      </w:r>
      <w:r w:rsidR="009112FB" w:rsidRPr="007C4B78">
        <w:rPr>
          <w:rFonts w:asciiTheme="majorHAnsi" w:eastAsia="Calibri" w:hAnsiTheme="majorHAnsi"/>
        </w:rPr>
        <w:t>the relevant proceeding</w:t>
      </w:r>
      <w:r w:rsidRPr="007C4B78">
        <w:rPr>
          <w:rFonts w:asciiTheme="majorHAnsi" w:eastAsia="Calibri" w:hAnsiTheme="majorHAnsi"/>
        </w:rPr>
        <w:t xml:space="preserve"> should be made available to children with cognitive disabilities not </w:t>
      </w:r>
      <w:r w:rsidRPr="007C4B78">
        <w:rPr>
          <w:rFonts w:asciiTheme="majorHAnsi" w:eastAsia="Calibri" w:hAnsiTheme="majorHAnsi"/>
        </w:rPr>
        <w:lastRenderedPageBreak/>
        <w:t>only</w:t>
      </w:r>
      <w:r w:rsidR="00841C5A" w:rsidRPr="007C4B78">
        <w:rPr>
          <w:rFonts w:asciiTheme="majorHAnsi" w:eastAsia="Calibri" w:hAnsiTheme="majorHAnsi"/>
        </w:rPr>
        <w:t xml:space="preserve"> in</w:t>
      </w:r>
      <w:r w:rsidRPr="007C4B78">
        <w:rPr>
          <w:rFonts w:asciiTheme="majorHAnsi" w:eastAsia="Calibri" w:hAnsiTheme="majorHAnsi"/>
        </w:rPr>
        <w:t xml:space="preserve"> child-friendly language </w:t>
      </w:r>
      <w:proofErr w:type="gramStart"/>
      <w:r w:rsidRPr="007C4B78">
        <w:rPr>
          <w:rFonts w:asciiTheme="majorHAnsi" w:eastAsia="Calibri" w:hAnsiTheme="majorHAnsi"/>
        </w:rPr>
        <w:t>but</w:t>
      </w:r>
      <w:proofErr w:type="gramEnd"/>
      <w:r w:rsidR="00841C5A" w:rsidRPr="007C4B78">
        <w:rPr>
          <w:rFonts w:asciiTheme="majorHAnsi" w:eastAsia="Calibri" w:hAnsiTheme="majorHAnsi"/>
        </w:rPr>
        <w:t xml:space="preserve"> in</w:t>
      </w:r>
      <w:r w:rsidRPr="007C4B78">
        <w:rPr>
          <w:rFonts w:asciiTheme="majorHAnsi" w:eastAsia="Calibri" w:hAnsiTheme="majorHAnsi"/>
        </w:rPr>
        <w:t xml:space="preserve"> easy-to-read </w:t>
      </w:r>
      <w:r w:rsidR="00841C5A" w:rsidRPr="007C4B78">
        <w:rPr>
          <w:rFonts w:asciiTheme="majorHAnsi" w:eastAsia="Calibri" w:hAnsiTheme="majorHAnsi"/>
        </w:rPr>
        <w:t>formats accessible to children with disabilities</w:t>
      </w:r>
      <w:r w:rsidRPr="007C4B78">
        <w:rPr>
          <w:rFonts w:asciiTheme="majorHAnsi" w:eastAsia="Calibri" w:hAnsiTheme="majorHAnsi"/>
        </w:rPr>
        <w:t>.  Children should have access to an advocate (</w:t>
      </w:r>
      <w:r w:rsidR="00C078C6" w:rsidRPr="007C4B78">
        <w:rPr>
          <w:rFonts w:asciiTheme="majorHAnsi" w:eastAsia="Calibri" w:hAnsiTheme="majorHAnsi"/>
        </w:rPr>
        <w:t>who</w:t>
      </w:r>
      <w:r w:rsidRPr="007C4B78">
        <w:rPr>
          <w:rFonts w:asciiTheme="majorHAnsi" w:eastAsia="Calibri" w:hAnsiTheme="majorHAnsi"/>
        </w:rPr>
        <w:t xml:space="preserve"> is trained and able to work with all children including children with cognitive disabilities) that can represent the voice of the child to the court. </w:t>
      </w:r>
    </w:p>
    <w:p w14:paraId="4FE8D057" w14:textId="77777777" w:rsidR="009112FB" w:rsidRPr="007C4B78" w:rsidRDefault="009112FB" w:rsidP="004D12C3">
      <w:pPr>
        <w:jc w:val="both"/>
        <w:rPr>
          <w:rFonts w:asciiTheme="majorHAnsi" w:eastAsia="Calibri" w:hAnsiTheme="majorHAnsi"/>
        </w:rPr>
      </w:pPr>
    </w:p>
    <w:p w14:paraId="318D7CD0" w14:textId="77777777" w:rsidR="00D657C0" w:rsidRPr="007C4B78" w:rsidRDefault="009112FB" w:rsidP="004D12C3">
      <w:pPr>
        <w:jc w:val="both"/>
        <w:rPr>
          <w:rFonts w:asciiTheme="majorHAnsi" w:eastAsia="Calibri" w:hAnsiTheme="majorHAnsi"/>
        </w:rPr>
      </w:pPr>
      <w:r w:rsidRPr="007C4B78">
        <w:rPr>
          <w:rFonts w:asciiTheme="majorHAnsi" w:eastAsia="Calibri" w:hAnsiTheme="majorHAnsi"/>
        </w:rPr>
        <w:t>Furthermore, during care placements children with cognitive disabilities should be provided with information in a way they can understand about their placement, and how to make a complaint about their placement. Children should be actively included in the care review process and the review of care plans for children with cognitive disabilities needs to be conducted in a way that is accessible to the child.</w:t>
      </w:r>
    </w:p>
    <w:p w14:paraId="1BF9FDEC" w14:textId="77777777" w:rsidR="00161059" w:rsidRPr="007C4B78" w:rsidRDefault="00161059" w:rsidP="004D12C3">
      <w:pPr>
        <w:pStyle w:val="Heading2"/>
        <w:jc w:val="both"/>
        <w:rPr>
          <w:rFonts w:asciiTheme="majorHAnsi" w:hAnsiTheme="majorHAnsi"/>
        </w:rPr>
      </w:pPr>
      <w:bookmarkStart w:id="32" w:name="_Toc417303158"/>
      <w:r w:rsidRPr="007C4B78">
        <w:rPr>
          <w:rFonts w:asciiTheme="majorHAnsi" w:hAnsiTheme="majorHAnsi"/>
        </w:rPr>
        <w:t>Detention under the Mental Health Act 2001</w:t>
      </w:r>
      <w:bookmarkEnd w:id="32"/>
    </w:p>
    <w:p w14:paraId="608F0FB6" w14:textId="77777777" w:rsidR="0046754F" w:rsidRPr="007C4B78" w:rsidRDefault="00161059" w:rsidP="004D12C3">
      <w:pPr>
        <w:jc w:val="both"/>
        <w:rPr>
          <w:rFonts w:asciiTheme="majorHAnsi" w:eastAsia="Calibri" w:hAnsiTheme="majorHAnsi"/>
          <w:lang w:val="en-US"/>
        </w:rPr>
      </w:pPr>
      <w:r w:rsidRPr="007C4B78">
        <w:rPr>
          <w:rFonts w:asciiTheme="majorHAnsi" w:eastAsia="Calibri" w:hAnsiTheme="majorHAnsi"/>
        </w:rPr>
        <w:t xml:space="preserve">In addition to the </w:t>
      </w:r>
      <w:r w:rsidR="00841C5A" w:rsidRPr="007C4B78">
        <w:rPr>
          <w:rFonts w:asciiTheme="majorHAnsi" w:eastAsia="Calibri" w:hAnsiTheme="majorHAnsi"/>
        </w:rPr>
        <w:t xml:space="preserve">placement of a child in residential care via a care order as discussed above, </w:t>
      </w:r>
      <w:r w:rsidRPr="007C4B78">
        <w:rPr>
          <w:rFonts w:asciiTheme="majorHAnsi" w:eastAsia="Calibri" w:hAnsiTheme="majorHAnsi"/>
        </w:rPr>
        <w:t>children may also be detained un</w:t>
      </w:r>
      <w:r w:rsidR="0046754F" w:rsidRPr="007C4B78">
        <w:rPr>
          <w:rFonts w:asciiTheme="majorHAnsi" w:eastAsia="Calibri" w:hAnsiTheme="majorHAnsi"/>
        </w:rPr>
        <w:t>der the Mental Health Act 2001.</w:t>
      </w:r>
      <w:r w:rsidR="001755E9" w:rsidRPr="007C4B78">
        <w:rPr>
          <w:rFonts w:asciiTheme="majorHAnsi" w:eastAsia="Calibri" w:hAnsiTheme="majorHAnsi"/>
        </w:rPr>
        <w:t xml:space="preserve"> In 2013 there were 13 children who were involuntarily detained</w:t>
      </w:r>
      <w:r w:rsidR="00841C5A" w:rsidRPr="007C4B78">
        <w:rPr>
          <w:rFonts w:asciiTheme="majorHAnsi" w:eastAsia="Calibri" w:hAnsiTheme="majorHAnsi"/>
        </w:rPr>
        <w:t xml:space="preserve"> in Ireland</w:t>
      </w:r>
      <w:r w:rsidR="001755E9" w:rsidRPr="007C4B78">
        <w:rPr>
          <w:rFonts w:asciiTheme="majorHAnsi" w:eastAsia="Calibri" w:hAnsiTheme="majorHAnsi"/>
        </w:rPr>
        <w:t xml:space="preserve"> under the Mental Health Act.</w:t>
      </w:r>
      <w:r w:rsidR="001755E9" w:rsidRPr="007C4B78">
        <w:rPr>
          <w:rStyle w:val="FootnoteReference"/>
          <w:rFonts w:asciiTheme="majorHAnsi" w:eastAsia="Calibri" w:hAnsiTheme="majorHAnsi"/>
        </w:rPr>
        <w:footnoteReference w:id="176"/>
      </w:r>
    </w:p>
    <w:p w14:paraId="6B5AB62C" w14:textId="77777777" w:rsidR="00F25448" w:rsidRPr="007C4B78" w:rsidRDefault="00F25448" w:rsidP="004D12C3">
      <w:pPr>
        <w:jc w:val="both"/>
        <w:rPr>
          <w:rFonts w:asciiTheme="majorHAnsi" w:eastAsia="Calibri" w:hAnsiTheme="majorHAnsi"/>
          <w:lang w:val="en-US"/>
        </w:rPr>
      </w:pPr>
    </w:p>
    <w:p w14:paraId="120B95E5" w14:textId="77777777" w:rsidR="00D9048D" w:rsidRPr="007C4B78" w:rsidRDefault="00D9048D" w:rsidP="004D12C3">
      <w:pPr>
        <w:jc w:val="both"/>
        <w:rPr>
          <w:rFonts w:asciiTheme="majorHAnsi" w:eastAsia="Calibri" w:hAnsiTheme="majorHAnsi"/>
          <w:lang w:val="en-US"/>
        </w:rPr>
      </w:pPr>
      <w:r w:rsidRPr="007C4B78">
        <w:rPr>
          <w:rFonts w:asciiTheme="majorHAnsi" w:eastAsia="Calibri" w:hAnsiTheme="majorHAnsi"/>
        </w:rPr>
        <w:t>The Mental Health Commission was notified of 428 admissions of 357 children to approved centres in 2012.</w:t>
      </w:r>
      <w:r w:rsidRPr="007C4B78">
        <w:rPr>
          <w:rStyle w:val="FootnoteReference"/>
          <w:rFonts w:asciiTheme="majorHAnsi" w:eastAsia="Calibri" w:hAnsiTheme="majorHAnsi"/>
        </w:rPr>
        <w:footnoteReference w:id="177"/>
      </w:r>
      <w:r w:rsidRPr="007C4B78">
        <w:rPr>
          <w:rFonts w:asciiTheme="majorHAnsi" w:eastAsia="Calibri" w:hAnsiTheme="majorHAnsi"/>
        </w:rPr>
        <w:t xml:space="preserve">  Of these, 106 were to adult approved centres, and 322 were to child and adolescent units.  The number of special</w:t>
      </w:r>
      <w:r w:rsidR="002E0C25" w:rsidRPr="007C4B78">
        <w:rPr>
          <w:rFonts w:asciiTheme="majorHAnsi" w:eastAsia="Calibri" w:hAnsiTheme="majorHAnsi"/>
        </w:rPr>
        <w:t>ise</w:t>
      </w:r>
      <w:r w:rsidRPr="007C4B78">
        <w:rPr>
          <w:rFonts w:asciiTheme="majorHAnsi" w:eastAsia="Calibri" w:hAnsiTheme="majorHAnsi"/>
        </w:rPr>
        <w:t>d approved centres for children has increased to six in 2012 from three in 2008, reducing the number of children detained in adult services from 63 percent in 2008 to 25 percent. One court case on such a treatment bases detention noted that the average length of stay for minors detained under this section is 17 days.</w:t>
      </w:r>
      <w:r w:rsidRPr="007C4B78">
        <w:rPr>
          <w:rStyle w:val="FootnoteReference"/>
          <w:rFonts w:asciiTheme="majorHAnsi" w:eastAsia="Calibri" w:hAnsiTheme="majorHAnsi"/>
        </w:rPr>
        <w:footnoteReference w:id="178"/>
      </w:r>
      <w:r w:rsidRPr="007C4B78">
        <w:rPr>
          <w:rFonts w:asciiTheme="majorHAnsi" w:eastAsia="Calibri" w:hAnsiTheme="majorHAnsi"/>
        </w:rPr>
        <w:t xml:space="preserve"> There is no information on when admissions to the centres came through investigation or prosecution of criminal cases.</w:t>
      </w:r>
    </w:p>
    <w:p w14:paraId="618238D9" w14:textId="77777777" w:rsidR="00D9048D" w:rsidRPr="007C4B78" w:rsidRDefault="00D9048D" w:rsidP="004D12C3">
      <w:pPr>
        <w:jc w:val="both"/>
        <w:rPr>
          <w:rFonts w:asciiTheme="majorHAnsi" w:eastAsia="Calibri" w:hAnsiTheme="majorHAnsi"/>
        </w:rPr>
      </w:pPr>
    </w:p>
    <w:p w14:paraId="5BCBC1AF" w14:textId="77777777" w:rsidR="0046754F" w:rsidRPr="007C4B78" w:rsidRDefault="0046754F" w:rsidP="004D12C3">
      <w:pPr>
        <w:pStyle w:val="Heading3"/>
        <w:jc w:val="both"/>
      </w:pPr>
      <w:bookmarkStart w:id="33" w:name="_Toc417303159"/>
      <w:r w:rsidRPr="007C4B78">
        <w:t>Laws and Policies</w:t>
      </w:r>
      <w:bookmarkEnd w:id="33"/>
    </w:p>
    <w:p w14:paraId="32D24325" w14:textId="77777777" w:rsidR="00161059" w:rsidRPr="007C4B78" w:rsidRDefault="0046754F" w:rsidP="004D12C3">
      <w:pPr>
        <w:jc w:val="both"/>
        <w:rPr>
          <w:rFonts w:asciiTheme="majorHAnsi" w:eastAsia="Calibri" w:hAnsiTheme="majorHAnsi"/>
        </w:rPr>
      </w:pPr>
      <w:r w:rsidRPr="007C4B78">
        <w:rPr>
          <w:rFonts w:asciiTheme="majorHAnsi" w:eastAsia="Calibri" w:hAnsiTheme="majorHAnsi"/>
        </w:rPr>
        <w:t xml:space="preserve">A child may be detained under this act </w:t>
      </w:r>
      <w:r w:rsidR="00161059" w:rsidRPr="007C4B78">
        <w:rPr>
          <w:rFonts w:asciiTheme="majorHAnsi" w:eastAsia="Calibri" w:hAnsiTheme="majorHAnsi"/>
        </w:rPr>
        <w:t xml:space="preserve">even without the consent of the parents, where the HSE </w:t>
      </w:r>
      <w:r w:rsidR="009112FB" w:rsidRPr="007C4B78">
        <w:rPr>
          <w:rFonts w:asciiTheme="majorHAnsi" w:eastAsia="Calibri" w:hAnsiTheme="majorHAnsi"/>
        </w:rPr>
        <w:t>"is suffering from a mental disorder" and the child requires treatment the child is unlikely to get without such an order.</w:t>
      </w:r>
      <w:r w:rsidR="009112FB" w:rsidRPr="007C4B78">
        <w:rPr>
          <w:rStyle w:val="FootnoteReference"/>
          <w:rFonts w:asciiTheme="majorHAnsi" w:eastAsia="Calibri" w:hAnsiTheme="majorHAnsi"/>
        </w:rPr>
        <w:footnoteReference w:id="179"/>
      </w:r>
      <w:r w:rsidR="009112FB" w:rsidRPr="007C4B78">
        <w:rPr>
          <w:rFonts w:asciiTheme="majorHAnsi" w:eastAsia="Calibri" w:hAnsiTheme="majorHAnsi"/>
        </w:rPr>
        <w:t xml:space="preserve"> In order to detain the child the HSE </w:t>
      </w:r>
      <w:r w:rsidR="00161059" w:rsidRPr="007C4B78">
        <w:rPr>
          <w:rFonts w:asciiTheme="majorHAnsi" w:eastAsia="Calibri" w:hAnsiTheme="majorHAnsi"/>
        </w:rPr>
        <w:t>makes an application to a district court to author</w:t>
      </w:r>
      <w:r w:rsidR="002E0C25" w:rsidRPr="007C4B78">
        <w:rPr>
          <w:rFonts w:asciiTheme="majorHAnsi" w:eastAsia="Calibri" w:hAnsiTheme="majorHAnsi"/>
        </w:rPr>
        <w:t>ise</w:t>
      </w:r>
      <w:r w:rsidR="00161059" w:rsidRPr="007C4B78">
        <w:rPr>
          <w:rFonts w:asciiTheme="majorHAnsi" w:eastAsia="Calibri" w:hAnsiTheme="majorHAnsi"/>
        </w:rPr>
        <w:t xml:space="preserve"> the detention</w:t>
      </w:r>
      <w:r w:rsidR="009112FB" w:rsidRPr="007C4B78">
        <w:rPr>
          <w:rFonts w:asciiTheme="majorHAnsi" w:eastAsia="Calibri" w:hAnsiTheme="majorHAnsi"/>
        </w:rPr>
        <w:t xml:space="preserve"> where the </w:t>
      </w:r>
      <w:proofErr w:type="gramStart"/>
      <w:r w:rsidR="009112FB" w:rsidRPr="007C4B78">
        <w:rPr>
          <w:rFonts w:asciiTheme="majorHAnsi" w:eastAsia="Calibri" w:hAnsiTheme="majorHAnsi"/>
        </w:rPr>
        <w:t xml:space="preserve">child </w:t>
      </w:r>
      <w:r w:rsidR="00161059" w:rsidRPr="007C4B78">
        <w:rPr>
          <w:rFonts w:asciiTheme="majorHAnsi" w:eastAsia="Calibri" w:hAnsiTheme="majorHAnsi"/>
        </w:rPr>
        <w:t>.</w:t>
      </w:r>
      <w:proofErr w:type="gramEnd"/>
      <w:r w:rsidR="00161059" w:rsidRPr="007C4B78">
        <w:rPr>
          <w:rStyle w:val="FootnoteReference"/>
          <w:rFonts w:asciiTheme="majorHAnsi" w:eastAsia="Calibri" w:hAnsiTheme="majorHAnsi"/>
        </w:rPr>
        <w:footnoteReference w:id="180"/>
      </w:r>
      <w:r w:rsidR="00161059" w:rsidRPr="007C4B78">
        <w:rPr>
          <w:rFonts w:asciiTheme="majorHAnsi" w:eastAsia="Calibri" w:hAnsiTheme="majorHAnsi"/>
        </w:rPr>
        <w:t xml:space="preserve">It should be noted that the Mental Health Act only sets out rights for those detained involuntarily and does not </w:t>
      </w:r>
      <w:r w:rsidR="00841C5A" w:rsidRPr="007C4B78">
        <w:rPr>
          <w:rFonts w:asciiTheme="majorHAnsi" w:eastAsia="Calibri" w:hAnsiTheme="majorHAnsi"/>
        </w:rPr>
        <w:t xml:space="preserve">provide protections for children </w:t>
      </w:r>
      <w:r w:rsidR="00161059" w:rsidRPr="007C4B78">
        <w:rPr>
          <w:rFonts w:asciiTheme="majorHAnsi" w:eastAsia="Calibri" w:hAnsiTheme="majorHAnsi"/>
        </w:rPr>
        <w:t xml:space="preserve">who are voluntarily admitted or </w:t>
      </w:r>
      <w:r w:rsidR="00841C5A" w:rsidRPr="007C4B78">
        <w:rPr>
          <w:rFonts w:asciiTheme="majorHAnsi" w:eastAsia="Calibri" w:hAnsiTheme="majorHAnsi"/>
        </w:rPr>
        <w:t>f</w:t>
      </w:r>
      <w:r w:rsidR="00161059" w:rsidRPr="007C4B78">
        <w:rPr>
          <w:rFonts w:asciiTheme="majorHAnsi" w:eastAsia="Calibri" w:hAnsiTheme="majorHAnsi"/>
        </w:rPr>
        <w:t>o</w:t>
      </w:r>
      <w:r w:rsidR="00841C5A" w:rsidRPr="007C4B78">
        <w:rPr>
          <w:rFonts w:asciiTheme="majorHAnsi" w:eastAsia="Calibri" w:hAnsiTheme="majorHAnsi"/>
        </w:rPr>
        <w:t>r</w:t>
      </w:r>
      <w:r w:rsidR="00161059" w:rsidRPr="007C4B78">
        <w:rPr>
          <w:rFonts w:asciiTheme="majorHAnsi" w:eastAsia="Calibri" w:hAnsiTheme="majorHAnsi"/>
        </w:rPr>
        <w:t xml:space="preserve"> children whose parents voluntarily admit them. Children placed in an approved mental health centre with the consent of their parents are not regarded as involuntary patients and are therefore not entitled to a hearing before </w:t>
      </w:r>
      <w:r w:rsidR="00841C5A" w:rsidRPr="007C4B78">
        <w:rPr>
          <w:rFonts w:asciiTheme="majorHAnsi" w:eastAsia="Calibri" w:hAnsiTheme="majorHAnsi"/>
        </w:rPr>
        <w:t xml:space="preserve">a </w:t>
      </w:r>
      <w:r w:rsidR="00161059" w:rsidRPr="007C4B78">
        <w:rPr>
          <w:rFonts w:asciiTheme="majorHAnsi" w:eastAsia="Calibri" w:hAnsiTheme="majorHAnsi"/>
        </w:rPr>
        <w:t>Mental Health Tribunal</w:t>
      </w:r>
      <w:r w:rsidR="00841C5A" w:rsidRPr="007C4B78">
        <w:rPr>
          <w:rFonts w:asciiTheme="majorHAnsi" w:eastAsia="Calibri" w:hAnsiTheme="majorHAnsi"/>
        </w:rPr>
        <w:t>, or a formal review of their placement or treatment</w:t>
      </w:r>
      <w:r w:rsidR="00161059" w:rsidRPr="007C4B78">
        <w:rPr>
          <w:rFonts w:asciiTheme="majorHAnsi" w:eastAsia="Calibri" w:hAnsiTheme="majorHAnsi"/>
        </w:rPr>
        <w:t>.</w:t>
      </w:r>
      <w:r w:rsidR="009112FB" w:rsidRPr="007C4B78">
        <w:rPr>
          <w:rFonts w:asciiTheme="majorHAnsi" w:eastAsia="Calibri" w:hAnsiTheme="majorHAnsi"/>
        </w:rPr>
        <w:t xml:space="preserve"> This is different than a care </w:t>
      </w:r>
      <w:r w:rsidR="009112FB" w:rsidRPr="007C4B78">
        <w:rPr>
          <w:rFonts w:asciiTheme="majorHAnsi" w:eastAsia="Calibri" w:hAnsiTheme="majorHAnsi"/>
        </w:rPr>
        <w:lastRenderedPageBreak/>
        <w:t>proceeding as the child will be detained in a designated centre and the focus is on treatment of the child not removal from the family.</w:t>
      </w:r>
    </w:p>
    <w:p w14:paraId="4766C3D9" w14:textId="77777777" w:rsidR="001B5B1E" w:rsidRPr="007C4B78" w:rsidRDefault="001B5B1E" w:rsidP="004D12C3">
      <w:pPr>
        <w:jc w:val="both"/>
        <w:rPr>
          <w:rFonts w:asciiTheme="majorHAnsi" w:eastAsia="Calibri" w:hAnsiTheme="majorHAnsi"/>
        </w:rPr>
      </w:pPr>
    </w:p>
    <w:p w14:paraId="4C743AC4" w14:textId="77777777" w:rsidR="009E553D" w:rsidRPr="007C4B78" w:rsidRDefault="00841C5A" w:rsidP="004D12C3">
      <w:pPr>
        <w:pStyle w:val="ColorfulList-Accent11"/>
        <w:ind w:left="0"/>
        <w:jc w:val="both"/>
      </w:pPr>
      <w:r w:rsidRPr="007C4B78">
        <w:rPr>
          <w:rFonts w:asciiTheme="majorHAnsi" w:eastAsia="Arial" w:hAnsiTheme="majorHAnsi" w:cs="Arial"/>
        </w:rPr>
        <w:t xml:space="preserve">A </w:t>
      </w:r>
      <w:r w:rsidR="00E03B6F" w:rsidRPr="007C4B78">
        <w:rPr>
          <w:rFonts w:asciiTheme="majorHAnsi" w:eastAsia="Arial" w:hAnsiTheme="majorHAnsi" w:cs="Arial"/>
        </w:rPr>
        <w:t>district judge</w:t>
      </w:r>
      <w:r w:rsidR="00FC0BCD" w:rsidRPr="007C4B78">
        <w:rPr>
          <w:rFonts w:asciiTheme="majorHAnsi" w:eastAsia="Arial" w:hAnsiTheme="majorHAnsi" w:cs="Arial"/>
        </w:rPr>
        <w:t xml:space="preserve"> interviewed for this project</w:t>
      </w:r>
      <w:r w:rsidR="00E03B6F" w:rsidRPr="007C4B78">
        <w:rPr>
          <w:rFonts w:asciiTheme="majorHAnsi" w:eastAsia="Arial" w:hAnsiTheme="majorHAnsi" w:cs="Arial"/>
        </w:rPr>
        <w:t xml:space="preserve"> mentioned a case where a young girl subject to a treatment and detention order under the Mental Health Act</w:t>
      </w:r>
      <w:r w:rsidR="00FC0BCD" w:rsidRPr="007C4B78">
        <w:rPr>
          <w:rFonts w:asciiTheme="majorHAnsi" w:eastAsia="Arial" w:hAnsiTheme="majorHAnsi" w:cs="Arial"/>
        </w:rPr>
        <w:t>,</w:t>
      </w:r>
      <w:r w:rsidR="00E03B6F" w:rsidRPr="007C4B78">
        <w:rPr>
          <w:rFonts w:asciiTheme="majorHAnsi" w:eastAsia="Arial" w:hAnsiTheme="majorHAnsi" w:cs="Arial"/>
        </w:rPr>
        <w:t xml:space="preserve"> attended court and spoke in favour of the order.</w:t>
      </w:r>
      <w:r w:rsidR="00E03B6F" w:rsidRPr="007C4B78">
        <w:rPr>
          <w:rStyle w:val="FootnoteReference"/>
          <w:rFonts w:asciiTheme="majorHAnsi" w:eastAsia="Arial" w:hAnsiTheme="majorHAnsi" w:cs="Arial"/>
        </w:rPr>
        <w:footnoteReference w:id="181"/>
      </w:r>
      <w:r w:rsidR="00BD5BB3" w:rsidRPr="007C4B78">
        <w:t>A</w:t>
      </w:r>
      <w:r w:rsidR="00BB23CC" w:rsidRPr="007C4B78">
        <w:t xml:space="preserve"> subsequent</w:t>
      </w:r>
      <w:r w:rsidR="00BD5BB3" w:rsidRPr="007C4B78">
        <w:t xml:space="preserve"> High Court case in 2013 </w:t>
      </w:r>
      <w:r w:rsidR="00BB23CC" w:rsidRPr="007C4B78">
        <w:t>addressed the issue of whether the treatment of a young girl</w:t>
      </w:r>
      <w:r w:rsidR="00E03B6F" w:rsidRPr="007C4B78">
        <w:t>with suicidal ideation</w:t>
      </w:r>
      <w:r w:rsidR="00BB23CC" w:rsidRPr="007C4B78">
        <w:t xml:space="preserve"> againsther will but with the consent of her parents constituted a violation of her rights under the Euro</w:t>
      </w:r>
      <w:r w:rsidR="00290641" w:rsidRPr="007C4B78">
        <w:t>pean Convention on Human Rights</w:t>
      </w:r>
      <w:r w:rsidR="00E03B6F" w:rsidRPr="007C4B78">
        <w:t>.</w:t>
      </w:r>
      <w:r w:rsidR="00BB23CC" w:rsidRPr="007C4B78">
        <w:rPr>
          <w:rStyle w:val="FootnoteReference"/>
          <w:rFonts w:asciiTheme="majorHAnsi" w:eastAsia="Arial" w:hAnsiTheme="majorHAnsi" w:cs="Arial"/>
        </w:rPr>
        <w:footnoteReference w:id="182"/>
      </w:r>
      <w:r w:rsidR="00E03B6F" w:rsidRPr="007C4B78">
        <w:t xml:space="preserve"> The young girl in this case was able to communicate with the district judge regarding her wishes via video link and through letters</w:t>
      </w:r>
      <w:r w:rsidR="00BB23CC" w:rsidRPr="007C4B78">
        <w:t>, and was also appointed a guardian ad litem</w:t>
      </w:r>
      <w:r w:rsidR="00290641" w:rsidRPr="007C4B78">
        <w:rPr>
          <w:lang w:val="en-US"/>
        </w:rPr>
        <w:t>.</w:t>
      </w:r>
      <w:r w:rsidR="00E03B6F" w:rsidRPr="007C4B78">
        <w:rPr>
          <w:rStyle w:val="FootnoteReference"/>
          <w:rFonts w:asciiTheme="majorHAnsi" w:eastAsia="Arial" w:hAnsiTheme="majorHAnsi" w:cs="Arial"/>
        </w:rPr>
        <w:footnoteReference w:id="183"/>
      </w:r>
      <w:r w:rsidR="00E03B6F" w:rsidRPr="007C4B78">
        <w:t xml:space="preserve"> The</w:t>
      </w:r>
      <w:r w:rsidR="00BB23CC" w:rsidRPr="007C4B78">
        <w:t xml:space="preserve"> HighC</w:t>
      </w:r>
      <w:r w:rsidR="00E03B6F" w:rsidRPr="007C4B78">
        <w:t>ourt found that there were adequate procedural safeguards and that the voice of the child was facilitated</w:t>
      </w:r>
      <w:r w:rsidR="00BB23CC" w:rsidRPr="007C4B78">
        <w:t xml:space="preserve"> at the district court level</w:t>
      </w:r>
      <w:r w:rsidR="00E03B6F" w:rsidRPr="007C4B78">
        <w:t>.</w:t>
      </w:r>
      <w:r w:rsidR="00E03B6F" w:rsidRPr="007C4B78">
        <w:rPr>
          <w:rStyle w:val="FootnoteReference"/>
          <w:rFonts w:asciiTheme="majorHAnsi" w:eastAsia="Arial" w:hAnsiTheme="majorHAnsi" w:cs="Arial"/>
        </w:rPr>
        <w:footnoteReference w:id="184"/>
      </w:r>
    </w:p>
    <w:p w14:paraId="21FF505D" w14:textId="77777777" w:rsidR="00E03B6F" w:rsidRPr="007C4B78" w:rsidRDefault="00E03B6F" w:rsidP="004D12C3">
      <w:pPr>
        <w:jc w:val="both"/>
        <w:rPr>
          <w:rFonts w:asciiTheme="majorHAnsi" w:eastAsia="Calibri" w:hAnsiTheme="majorHAnsi"/>
        </w:rPr>
      </w:pPr>
    </w:p>
    <w:p w14:paraId="5ABACD7C" w14:textId="77777777" w:rsidR="00AC5E18" w:rsidRPr="007C4B78" w:rsidRDefault="00FC0BCD" w:rsidP="004D12C3">
      <w:pPr>
        <w:pStyle w:val="task"/>
        <w:tabs>
          <w:tab w:val="clear" w:pos="680"/>
          <w:tab w:val="left" w:pos="0"/>
        </w:tabs>
        <w:ind w:left="0" w:firstLine="0"/>
        <w:jc w:val="both"/>
        <w:rPr>
          <w:rFonts w:asciiTheme="majorHAnsi" w:hAnsiTheme="majorHAnsi"/>
        </w:rPr>
      </w:pPr>
      <w:r w:rsidRPr="007C4B78">
        <w:rPr>
          <w:rFonts w:asciiTheme="majorHAnsi" w:hAnsiTheme="majorHAnsi"/>
        </w:rPr>
        <w:t xml:space="preserve">As discussed above, </w:t>
      </w:r>
      <w:r w:rsidR="00161059" w:rsidRPr="007C4B78">
        <w:rPr>
          <w:rFonts w:asciiTheme="majorHAnsi" w:hAnsiTheme="majorHAnsi"/>
        </w:rPr>
        <w:t>Tusla is now responsible for care proceedings,</w:t>
      </w:r>
      <w:r w:rsidR="0029012D" w:rsidRPr="007C4B78">
        <w:rPr>
          <w:rFonts w:asciiTheme="majorHAnsi" w:hAnsiTheme="majorHAnsi"/>
        </w:rPr>
        <w:t xml:space="preserve"> child and family support services (excluding disability support services),</w:t>
      </w:r>
      <w:r w:rsidRPr="007C4B78">
        <w:rPr>
          <w:rFonts w:asciiTheme="majorHAnsi" w:hAnsiTheme="majorHAnsi"/>
        </w:rPr>
        <w:t xml:space="preserve"> and</w:t>
      </w:r>
      <w:r w:rsidR="00161059" w:rsidRPr="007C4B78">
        <w:rPr>
          <w:rFonts w:asciiTheme="majorHAnsi" w:hAnsiTheme="majorHAnsi"/>
        </w:rPr>
        <w:t xml:space="preserve"> Children First but the Ch</w:t>
      </w:r>
      <w:r w:rsidR="0029012D" w:rsidRPr="007C4B78">
        <w:rPr>
          <w:rFonts w:asciiTheme="majorHAnsi" w:hAnsiTheme="majorHAnsi"/>
        </w:rPr>
        <w:t xml:space="preserve">ild and Adolescent Mental </w:t>
      </w:r>
      <w:proofErr w:type="gramStart"/>
      <w:r w:rsidR="0029012D" w:rsidRPr="007C4B78">
        <w:rPr>
          <w:rFonts w:asciiTheme="majorHAnsi" w:hAnsiTheme="majorHAnsi"/>
        </w:rPr>
        <w:t>HealthServices(</w:t>
      </w:r>
      <w:proofErr w:type="gramEnd"/>
      <w:r w:rsidR="0029012D" w:rsidRPr="007C4B78">
        <w:rPr>
          <w:rFonts w:asciiTheme="majorHAnsi" w:hAnsiTheme="majorHAnsi"/>
        </w:rPr>
        <w:t>CAM</w:t>
      </w:r>
      <w:r w:rsidR="00540BF1" w:rsidRPr="007C4B78">
        <w:rPr>
          <w:rFonts w:asciiTheme="majorHAnsi" w:hAnsiTheme="majorHAnsi"/>
        </w:rPr>
        <w:t>H</w:t>
      </w:r>
      <w:r w:rsidR="0029012D" w:rsidRPr="007C4B78">
        <w:rPr>
          <w:rFonts w:asciiTheme="majorHAnsi" w:hAnsiTheme="majorHAnsi"/>
        </w:rPr>
        <w:t xml:space="preserve">S) </w:t>
      </w:r>
      <w:r w:rsidR="00161059" w:rsidRPr="007C4B78">
        <w:rPr>
          <w:rFonts w:asciiTheme="majorHAnsi" w:hAnsiTheme="majorHAnsi"/>
        </w:rPr>
        <w:t>remains a part of the HSE.</w:t>
      </w:r>
      <w:r w:rsidR="00161059" w:rsidRPr="007C4B78">
        <w:rPr>
          <w:rStyle w:val="FootnoteReference"/>
          <w:rFonts w:asciiTheme="majorHAnsi" w:hAnsiTheme="majorHAnsi"/>
        </w:rPr>
        <w:footnoteReference w:id="185"/>
      </w:r>
      <w:r w:rsidR="0029012D" w:rsidRPr="007C4B78">
        <w:rPr>
          <w:rFonts w:asciiTheme="majorHAnsi" w:hAnsiTheme="majorHAnsi"/>
        </w:rPr>
        <w:t xml:space="preserve"> The exclusion of CAM</w:t>
      </w:r>
      <w:r w:rsidR="00540BF1" w:rsidRPr="007C4B78">
        <w:rPr>
          <w:rFonts w:asciiTheme="majorHAnsi" w:hAnsiTheme="majorHAnsi"/>
        </w:rPr>
        <w:t>H</w:t>
      </w:r>
      <w:r w:rsidR="0029012D" w:rsidRPr="007C4B78">
        <w:rPr>
          <w:rFonts w:asciiTheme="majorHAnsi" w:hAnsiTheme="majorHAnsi"/>
        </w:rPr>
        <w:t>S from Tusla goes against the recommendations of the Report of the Task Force on the Child and Family Support Agency.</w:t>
      </w:r>
      <w:r w:rsidR="0029012D" w:rsidRPr="007C4B78">
        <w:rPr>
          <w:rStyle w:val="FootnoteReference"/>
          <w:rFonts w:asciiTheme="majorHAnsi" w:hAnsiTheme="majorHAnsi"/>
        </w:rPr>
        <w:footnoteReference w:id="186"/>
      </w:r>
      <w:r w:rsidR="00AC5E18" w:rsidRPr="007C4B78">
        <w:rPr>
          <w:rFonts w:asciiTheme="majorHAnsi" w:hAnsiTheme="majorHAnsi"/>
        </w:rPr>
        <w:t>At this juncture it is too soon to tell whether or not this separation will have negative consequences</w:t>
      </w:r>
      <w:r w:rsidRPr="007C4B78">
        <w:rPr>
          <w:rFonts w:asciiTheme="majorHAnsi" w:hAnsiTheme="majorHAnsi"/>
        </w:rPr>
        <w:t xml:space="preserve"> for children with cognitive disabilities</w:t>
      </w:r>
      <w:r w:rsidR="00AC5E18" w:rsidRPr="007C4B78">
        <w:rPr>
          <w:rFonts w:asciiTheme="majorHAnsi" w:hAnsiTheme="majorHAnsi"/>
        </w:rPr>
        <w:t>.</w:t>
      </w:r>
    </w:p>
    <w:p w14:paraId="4B69F5BF" w14:textId="77777777" w:rsidR="00AC5E18" w:rsidRPr="007C4B78" w:rsidRDefault="00AC5E18" w:rsidP="004D12C3">
      <w:pPr>
        <w:pStyle w:val="Heading3"/>
        <w:jc w:val="both"/>
      </w:pPr>
      <w:bookmarkStart w:id="34" w:name="_Toc417303160"/>
      <w:r w:rsidRPr="007C4B78">
        <w:t>What would access to justice look like in Mental Health Detention Cases</w:t>
      </w:r>
      <w:r w:rsidR="00540BF1" w:rsidRPr="007C4B78">
        <w:t>?</w:t>
      </w:r>
      <w:bookmarkEnd w:id="34"/>
    </w:p>
    <w:p w14:paraId="3B058936" w14:textId="77777777" w:rsidR="00AC5E18" w:rsidRPr="007C4B78" w:rsidRDefault="000636B9" w:rsidP="004D12C3">
      <w:pPr>
        <w:pStyle w:val="ColorfulList-Accent11"/>
        <w:ind w:left="0"/>
        <w:jc w:val="both"/>
        <w:rPr>
          <w:rFonts w:asciiTheme="majorHAnsi" w:hAnsiTheme="majorHAnsi"/>
        </w:rPr>
      </w:pPr>
      <w:r w:rsidRPr="007C4B78">
        <w:rPr>
          <w:rFonts w:asciiTheme="majorHAnsi" w:hAnsiTheme="majorHAnsi"/>
        </w:rPr>
        <w:t>Children sh</w:t>
      </w:r>
      <w:r w:rsidR="00AC5E18" w:rsidRPr="007C4B78">
        <w:rPr>
          <w:rFonts w:asciiTheme="majorHAnsi" w:hAnsiTheme="majorHAnsi"/>
        </w:rPr>
        <w:t>ould have access to the Mental Health Tribunal regardless of whether they are admitted with the consent of their parents.</w:t>
      </w:r>
      <w:r w:rsidR="009112FB" w:rsidRPr="007C4B78">
        <w:rPr>
          <w:rStyle w:val="FootnoteReference"/>
          <w:rFonts w:asciiTheme="majorHAnsi" w:hAnsiTheme="majorHAnsi"/>
        </w:rPr>
        <w:footnoteReference w:id="187"/>
      </w:r>
      <w:r w:rsidR="0091679D" w:rsidRPr="007C4B78">
        <w:rPr>
          <w:rFonts w:asciiTheme="majorHAnsi" w:hAnsiTheme="majorHAnsi"/>
        </w:rPr>
        <w:t>Placements in mental health centres would be age appropriate and close to their families whenever possible. Children</w:t>
      </w:r>
      <w:r w:rsidR="00AC5E18" w:rsidRPr="007C4B78">
        <w:rPr>
          <w:rFonts w:asciiTheme="majorHAnsi" w:hAnsiTheme="majorHAnsi"/>
        </w:rPr>
        <w:t xml:space="preserve"> would be given information about the proceeding in an accessible manner and be able to </w:t>
      </w:r>
      <w:r w:rsidR="0091679D" w:rsidRPr="007C4B78">
        <w:rPr>
          <w:rFonts w:asciiTheme="majorHAnsi" w:hAnsiTheme="majorHAnsi"/>
        </w:rPr>
        <w:t>an advocate.</w:t>
      </w:r>
    </w:p>
    <w:p w14:paraId="5E6DBAE0" w14:textId="77777777" w:rsidR="00D73861" w:rsidRPr="007C4B78" w:rsidRDefault="00D73861" w:rsidP="004D12C3">
      <w:pPr>
        <w:pStyle w:val="Heading1"/>
        <w:jc w:val="both"/>
      </w:pPr>
      <w:bookmarkStart w:id="35" w:name="_Toc417303161"/>
      <w:r w:rsidRPr="007C4B78">
        <w:t>Criminal Justice</w:t>
      </w:r>
      <w:bookmarkEnd w:id="35"/>
    </w:p>
    <w:p w14:paraId="32A7108C" w14:textId="77777777" w:rsidR="003654EF" w:rsidRPr="007C4B78" w:rsidRDefault="003654EF" w:rsidP="004D12C3">
      <w:pPr>
        <w:pStyle w:val="ColorfulList-Accent11"/>
        <w:ind w:left="0"/>
        <w:jc w:val="both"/>
        <w:rPr>
          <w:rFonts w:asciiTheme="majorHAnsi" w:hAnsiTheme="majorHAnsi"/>
        </w:rPr>
      </w:pPr>
    </w:p>
    <w:p w14:paraId="4E329749" w14:textId="77777777" w:rsidR="009E553D" w:rsidRPr="007C4B78" w:rsidRDefault="0045514F" w:rsidP="004D12C3">
      <w:pPr>
        <w:pStyle w:val="ColorfulList-Accent11"/>
        <w:ind w:left="0"/>
        <w:jc w:val="both"/>
        <w:rPr>
          <w:rFonts w:asciiTheme="majorHAnsi" w:hAnsiTheme="majorHAnsi"/>
        </w:rPr>
      </w:pPr>
      <w:r w:rsidRPr="007C4B78">
        <w:rPr>
          <w:rFonts w:asciiTheme="majorHAnsi" w:hAnsiTheme="majorHAnsi"/>
        </w:rPr>
        <w:t xml:space="preserve">This section </w:t>
      </w:r>
      <w:r w:rsidR="003654EF" w:rsidRPr="007C4B78">
        <w:rPr>
          <w:rFonts w:asciiTheme="majorHAnsi" w:hAnsiTheme="majorHAnsi"/>
        </w:rPr>
        <w:t>examines</w:t>
      </w:r>
      <w:r w:rsidRPr="007C4B78">
        <w:rPr>
          <w:rFonts w:asciiTheme="majorHAnsi" w:hAnsiTheme="majorHAnsi"/>
        </w:rPr>
        <w:t xml:space="preserve"> how children with cognitive disabilities </w:t>
      </w:r>
      <w:r w:rsidR="003654EF" w:rsidRPr="007C4B78">
        <w:rPr>
          <w:rFonts w:asciiTheme="majorHAnsi" w:hAnsiTheme="majorHAnsi"/>
        </w:rPr>
        <w:t xml:space="preserve">can </w:t>
      </w:r>
      <w:r w:rsidRPr="007C4B78">
        <w:rPr>
          <w:rFonts w:asciiTheme="majorHAnsi" w:hAnsiTheme="majorHAnsi"/>
        </w:rPr>
        <w:t>access justice as a victim or witness and as an alleged offender</w:t>
      </w:r>
      <w:r w:rsidR="003654EF" w:rsidRPr="007C4B78">
        <w:rPr>
          <w:rFonts w:asciiTheme="majorHAnsi" w:hAnsiTheme="majorHAnsi"/>
        </w:rPr>
        <w:t xml:space="preserve">, in the criminal justice system in </w:t>
      </w:r>
      <w:r w:rsidR="003654EF" w:rsidRPr="007C4B78">
        <w:rPr>
          <w:rFonts w:asciiTheme="majorHAnsi" w:hAnsiTheme="majorHAnsi"/>
        </w:rPr>
        <w:lastRenderedPageBreak/>
        <w:t>Ireland</w:t>
      </w:r>
      <w:r w:rsidRPr="007C4B78">
        <w:rPr>
          <w:rFonts w:asciiTheme="majorHAnsi" w:hAnsiTheme="majorHAnsi"/>
        </w:rPr>
        <w:t>.</w:t>
      </w:r>
      <w:r w:rsidR="00701202" w:rsidRPr="007C4B78">
        <w:rPr>
          <w:rFonts w:asciiTheme="majorHAnsi" w:hAnsiTheme="majorHAnsi"/>
        </w:rPr>
        <w:t xml:space="preserve"> The section will </w:t>
      </w:r>
      <w:r w:rsidR="000636B9" w:rsidRPr="007C4B78">
        <w:rPr>
          <w:rFonts w:asciiTheme="majorHAnsi" w:hAnsiTheme="majorHAnsi"/>
        </w:rPr>
        <w:t>address</w:t>
      </w:r>
      <w:r w:rsidR="00701202" w:rsidRPr="007C4B78">
        <w:rPr>
          <w:rFonts w:asciiTheme="majorHAnsi" w:hAnsiTheme="majorHAnsi"/>
        </w:rPr>
        <w:t xml:space="preserve"> not only the court proceedings themselves but also the investigation, available support services and detention. At the outset it is important to</w:t>
      </w:r>
      <w:r w:rsidR="00356E14" w:rsidRPr="007C4B78">
        <w:rPr>
          <w:rFonts w:asciiTheme="majorHAnsi" w:hAnsiTheme="majorHAnsi"/>
        </w:rPr>
        <w:t xml:space="preserve"> note that there is an imbalance in available supports for child victims with cognitive disabilities versus child alleged offenders with cognitive disabilities.</w:t>
      </w:r>
    </w:p>
    <w:p w14:paraId="05E2AFDA" w14:textId="77777777" w:rsidR="0045514F" w:rsidRPr="007C4B78" w:rsidRDefault="0045514F" w:rsidP="004D12C3">
      <w:pPr>
        <w:pStyle w:val="Heading2"/>
        <w:jc w:val="both"/>
        <w:rPr>
          <w:rFonts w:asciiTheme="majorHAnsi" w:hAnsiTheme="majorHAnsi"/>
        </w:rPr>
      </w:pPr>
      <w:bookmarkStart w:id="36" w:name="_Toc417303162"/>
      <w:r w:rsidRPr="007C4B78">
        <w:rPr>
          <w:rFonts w:asciiTheme="majorHAnsi" w:hAnsiTheme="majorHAnsi"/>
        </w:rPr>
        <w:t>Victims and Witnesses</w:t>
      </w:r>
      <w:bookmarkEnd w:id="36"/>
    </w:p>
    <w:p w14:paraId="6480F9FC" w14:textId="77777777" w:rsidR="0045514F" w:rsidRPr="007C4B78" w:rsidRDefault="00780B84" w:rsidP="004D12C3">
      <w:pPr>
        <w:pStyle w:val="Heading3"/>
        <w:jc w:val="both"/>
      </w:pPr>
      <w:bookmarkStart w:id="37" w:name="_Toc417303163"/>
      <w:r w:rsidRPr="007C4B78">
        <w:t>Brief Background and History</w:t>
      </w:r>
      <w:r w:rsidR="00181E40" w:rsidRPr="007C4B78">
        <w:t xml:space="preserve"> on Victims with Cognitive Disabilities</w:t>
      </w:r>
      <w:bookmarkEnd w:id="37"/>
    </w:p>
    <w:p w14:paraId="430336CD" w14:textId="77777777" w:rsidR="00641E77" w:rsidRPr="007C4B78" w:rsidRDefault="00641E77" w:rsidP="004D12C3">
      <w:pPr>
        <w:jc w:val="both"/>
        <w:rPr>
          <w:rFonts w:asciiTheme="majorHAnsi" w:eastAsia="Calibri" w:hAnsiTheme="majorHAnsi"/>
        </w:rPr>
      </w:pPr>
    </w:p>
    <w:p w14:paraId="6D5A32C8" w14:textId="77777777" w:rsidR="00641E77" w:rsidRPr="007C4B78" w:rsidRDefault="00641E77" w:rsidP="004D12C3">
      <w:pPr>
        <w:jc w:val="both"/>
        <w:rPr>
          <w:rFonts w:asciiTheme="majorHAnsi" w:eastAsia="Calibri" w:hAnsiTheme="majorHAnsi"/>
        </w:rPr>
      </w:pPr>
      <w:r w:rsidRPr="007C4B78">
        <w:rPr>
          <w:rFonts w:asciiTheme="majorHAnsi" w:eastAsia="Calibri" w:hAnsiTheme="majorHAnsi"/>
        </w:rPr>
        <w:t>Throughout the past decade (as well as throughout the 90s</w:t>
      </w:r>
      <w:r w:rsidRPr="007C4B78">
        <w:rPr>
          <w:rStyle w:val="FootnoteReference"/>
          <w:rFonts w:asciiTheme="majorHAnsi" w:eastAsia="Calibri" w:hAnsiTheme="majorHAnsi"/>
        </w:rPr>
        <w:footnoteReference w:id="188"/>
      </w:r>
      <w:r w:rsidRPr="007C4B78">
        <w:rPr>
          <w:rFonts w:asciiTheme="majorHAnsi" w:eastAsia="Calibri" w:hAnsiTheme="majorHAnsi"/>
        </w:rPr>
        <w:t>) there have been several important reports</w:t>
      </w:r>
      <w:r w:rsidRPr="007C4B78">
        <w:rPr>
          <w:rStyle w:val="FootnoteReference"/>
          <w:rFonts w:asciiTheme="majorHAnsi" w:eastAsia="Calibri" w:hAnsiTheme="majorHAnsi"/>
        </w:rPr>
        <w:footnoteReference w:id="189"/>
      </w:r>
      <w:r w:rsidRPr="007C4B78">
        <w:rPr>
          <w:rFonts w:asciiTheme="majorHAnsi" w:eastAsia="Calibri" w:hAnsiTheme="majorHAnsi"/>
        </w:rPr>
        <w:t xml:space="preserve"> on the abuse of children and people with disabilities</w:t>
      </w:r>
      <w:r w:rsidR="00B72D34" w:rsidRPr="007C4B78">
        <w:rPr>
          <w:rFonts w:asciiTheme="majorHAnsi" w:eastAsia="Calibri" w:hAnsiTheme="majorHAnsi"/>
        </w:rPr>
        <w:t>.</w:t>
      </w:r>
      <w:r w:rsidR="0094675C" w:rsidRPr="007C4B78">
        <w:rPr>
          <w:rFonts w:asciiTheme="majorHAnsi" w:eastAsia="Calibri" w:hAnsiTheme="majorHAnsi"/>
        </w:rPr>
        <w:t xml:space="preserve"> </w:t>
      </w:r>
      <w:r w:rsidR="00B72D34" w:rsidRPr="007C4B78">
        <w:rPr>
          <w:rFonts w:asciiTheme="majorHAnsi" w:eastAsia="Calibri" w:hAnsiTheme="majorHAnsi"/>
        </w:rPr>
        <w:t>The reports</w:t>
      </w:r>
      <w:r w:rsidRPr="007C4B78">
        <w:rPr>
          <w:rFonts w:asciiTheme="majorHAnsi" w:eastAsia="Calibri" w:hAnsiTheme="majorHAnsi"/>
        </w:rPr>
        <w:t xml:space="preserve"> often revealed that there was knowledge of the abuse but those with knowledge did not report</w:t>
      </w:r>
      <w:r w:rsidR="003654EF" w:rsidRPr="007C4B78">
        <w:rPr>
          <w:rFonts w:asciiTheme="majorHAnsi" w:eastAsia="Calibri" w:hAnsiTheme="majorHAnsi"/>
        </w:rPr>
        <w:t xml:space="preserve"> suspected or alleged abuse</w:t>
      </w:r>
      <w:r w:rsidRPr="007C4B78">
        <w:rPr>
          <w:rFonts w:asciiTheme="majorHAnsi" w:eastAsia="Calibri" w:hAnsiTheme="majorHAnsi"/>
        </w:rPr>
        <w:t>.</w:t>
      </w:r>
      <w:r w:rsidRPr="007C4B78">
        <w:rPr>
          <w:rStyle w:val="FootnoteReference"/>
          <w:rFonts w:asciiTheme="majorHAnsi" w:eastAsia="Calibri" w:hAnsiTheme="majorHAnsi"/>
        </w:rPr>
        <w:footnoteReference w:id="190"/>
      </w:r>
    </w:p>
    <w:p w14:paraId="385B1A78" w14:textId="77777777" w:rsidR="00641E77" w:rsidRPr="007C4B78" w:rsidRDefault="00641E77" w:rsidP="004D12C3">
      <w:pPr>
        <w:jc w:val="both"/>
        <w:rPr>
          <w:rFonts w:asciiTheme="majorHAnsi" w:eastAsia="Calibri" w:hAnsiTheme="majorHAnsi"/>
        </w:rPr>
      </w:pPr>
    </w:p>
    <w:p w14:paraId="1A133228" w14:textId="77777777" w:rsidR="009B2480" w:rsidRPr="007C4B78" w:rsidRDefault="00DF7216" w:rsidP="004D12C3">
      <w:pPr>
        <w:jc w:val="both"/>
        <w:rPr>
          <w:rFonts w:asciiTheme="majorHAnsi" w:eastAsia="Calibri" w:hAnsiTheme="majorHAnsi"/>
        </w:rPr>
      </w:pPr>
      <w:r w:rsidRPr="007C4B78">
        <w:rPr>
          <w:rFonts w:asciiTheme="majorHAnsi" w:eastAsia="Calibri" w:hAnsiTheme="majorHAnsi"/>
        </w:rPr>
        <w:t xml:space="preserve">In 1999 the Western Health Board began investigating allegations of historical abuse </w:t>
      </w:r>
      <w:r w:rsidR="003654EF" w:rsidRPr="007C4B78">
        <w:rPr>
          <w:rFonts w:asciiTheme="majorHAnsi" w:eastAsia="Calibri" w:hAnsiTheme="majorHAnsi"/>
        </w:rPr>
        <w:t>of</w:t>
      </w:r>
      <w:r w:rsidRPr="007C4B78">
        <w:rPr>
          <w:rFonts w:asciiTheme="majorHAnsi" w:eastAsia="Calibri" w:hAnsiTheme="majorHAnsi"/>
        </w:rPr>
        <w:t xml:space="preserve"> children with intellectual disabilities who lived in residential institutions operated by the Holy Family School and Brothers of Charity in Galway. </w:t>
      </w:r>
      <w:r w:rsidR="003654EF" w:rsidRPr="007C4B78">
        <w:rPr>
          <w:rFonts w:asciiTheme="majorHAnsi" w:eastAsia="Calibri" w:hAnsiTheme="majorHAnsi"/>
        </w:rPr>
        <w:t xml:space="preserve">It </w:t>
      </w:r>
      <w:r w:rsidRPr="007C4B78">
        <w:rPr>
          <w:rFonts w:asciiTheme="majorHAnsi" w:eastAsia="Calibri" w:hAnsiTheme="majorHAnsi"/>
        </w:rPr>
        <w:t xml:space="preserve">published the results of their investigation in </w:t>
      </w:r>
      <w:r w:rsidR="00464197" w:rsidRPr="007C4B78">
        <w:rPr>
          <w:rFonts w:asciiTheme="majorHAnsi" w:eastAsia="Calibri" w:hAnsiTheme="majorHAnsi"/>
        </w:rPr>
        <w:t>2007, which</w:t>
      </w:r>
      <w:r w:rsidRPr="007C4B78">
        <w:rPr>
          <w:rFonts w:asciiTheme="majorHAnsi" w:eastAsia="Calibri" w:hAnsiTheme="majorHAnsi"/>
        </w:rPr>
        <w:t xml:space="preserve"> became colloquially known as the McCoy Report.</w:t>
      </w:r>
      <w:r w:rsidR="00910965" w:rsidRPr="007C4B78">
        <w:rPr>
          <w:rStyle w:val="FootnoteReference"/>
          <w:rFonts w:asciiTheme="majorHAnsi" w:eastAsia="Calibri" w:hAnsiTheme="majorHAnsi"/>
        </w:rPr>
        <w:footnoteReference w:id="191"/>
      </w:r>
      <w:r w:rsidRPr="007C4B78">
        <w:rPr>
          <w:rFonts w:asciiTheme="majorHAnsi" w:eastAsia="Calibri" w:hAnsiTheme="majorHAnsi"/>
        </w:rPr>
        <w:t xml:space="preserve"> The McCoy report </w:t>
      </w:r>
      <w:r w:rsidR="00910965" w:rsidRPr="007C4B78">
        <w:rPr>
          <w:rFonts w:asciiTheme="majorHAnsi" w:eastAsia="Calibri" w:hAnsiTheme="majorHAnsi"/>
        </w:rPr>
        <w:t>found</w:t>
      </w:r>
      <w:r w:rsidR="003654EF" w:rsidRPr="007C4B78">
        <w:rPr>
          <w:rFonts w:asciiTheme="majorHAnsi" w:eastAsia="Calibri" w:hAnsiTheme="majorHAnsi"/>
        </w:rPr>
        <w:t xml:space="preserve"> in interviews with former pupils</w:t>
      </w:r>
      <w:r w:rsidR="00910965" w:rsidRPr="007C4B78">
        <w:rPr>
          <w:rFonts w:asciiTheme="majorHAnsi" w:eastAsia="Calibri" w:hAnsiTheme="majorHAnsi"/>
        </w:rPr>
        <w:t xml:space="preserve"> 21 complainants who made allegations of sexual and physical abuse against them and other students by the Brothers and lay staff members.</w:t>
      </w:r>
      <w:r w:rsidR="00CC1BA8" w:rsidRPr="007C4B78">
        <w:rPr>
          <w:rStyle w:val="FootnoteReference"/>
          <w:rFonts w:asciiTheme="majorHAnsi" w:eastAsia="Calibri" w:hAnsiTheme="majorHAnsi"/>
        </w:rPr>
        <w:footnoteReference w:id="192"/>
      </w:r>
    </w:p>
    <w:p w14:paraId="6D77E3B9" w14:textId="77777777" w:rsidR="00DF7216" w:rsidRPr="007C4B78" w:rsidRDefault="00DF7216" w:rsidP="004D12C3">
      <w:pPr>
        <w:jc w:val="both"/>
        <w:rPr>
          <w:rFonts w:asciiTheme="majorHAnsi" w:eastAsia="Calibri" w:hAnsiTheme="majorHAnsi"/>
          <w:u w:val="single"/>
        </w:rPr>
      </w:pPr>
    </w:p>
    <w:p w14:paraId="2B681D14" w14:textId="77777777" w:rsidR="00641E77" w:rsidRPr="007C4B78" w:rsidRDefault="009B2480" w:rsidP="004D12C3">
      <w:pPr>
        <w:jc w:val="both"/>
        <w:rPr>
          <w:rFonts w:asciiTheme="majorHAnsi" w:eastAsia="Calibri" w:hAnsiTheme="majorHAnsi"/>
        </w:rPr>
      </w:pPr>
      <w:r w:rsidRPr="007C4B78">
        <w:rPr>
          <w:rFonts w:asciiTheme="majorHAnsi" w:eastAsia="Calibri" w:hAnsiTheme="majorHAnsi"/>
        </w:rPr>
        <w:lastRenderedPageBreak/>
        <w:t xml:space="preserve">In 2000 the Commission to </w:t>
      </w:r>
      <w:r w:rsidR="00DF7216" w:rsidRPr="007C4B78">
        <w:rPr>
          <w:rFonts w:asciiTheme="majorHAnsi" w:eastAsia="Calibri" w:hAnsiTheme="majorHAnsi"/>
        </w:rPr>
        <w:t>Inquire into Child Abuse was established to investigate historical abuse of children in state institutions in Ireland</w:t>
      </w:r>
      <w:r w:rsidR="002937AE" w:rsidRPr="007C4B78">
        <w:rPr>
          <w:rFonts w:asciiTheme="majorHAnsi" w:eastAsia="Calibri" w:hAnsiTheme="majorHAnsi"/>
        </w:rPr>
        <w:t xml:space="preserve"> and found that children with learning disabilities were especially vulnerable in institutional settings</w:t>
      </w:r>
      <w:r w:rsidR="00DF7216" w:rsidRPr="007C4B78">
        <w:rPr>
          <w:rFonts w:asciiTheme="majorHAnsi" w:eastAsia="Calibri" w:hAnsiTheme="majorHAnsi"/>
        </w:rPr>
        <w:t xml:space="preserve">. </w:t>
      </w:r>
      <w:r w:rsidR="002937AE" w:rsidRPr="007C4B78">
        <w:rPr>
          <w:rStyle w:val="FootnoteReference"/>
          <w:rFonts w:asciiTheme="majorHAnsi" w:eastAsia="Calibri" w:hAnsiTheme="majorHAnsi"/>
        </w:rPr>
        <w:footnoteReference w:id="193"/>
      </w:r>
      <w:r w:rsidR="00181E40" w:rsidRPr="007C4B78">
        <w:rPr>
          <w:rFonts w:asciiTheme="majorHAnsi" w:eastAsia="Calibri" w:hAnsiTheme="majorHAnsi"/>
        </w:rPr>
        <w:t xml:space="preserve"> The</w:t>
      </w:r>
      <w:r w:rsidR="003654EF" w:rsidRPr="007C4B78">
        <w:rPr>
          <w:rFonts w:asciiTheme="majorHAnsi" w:eastAsia="Calibri" w:hAnsiTheme="majorHAnsi"/>
        </w:rPr>
        <w:t xml:space="preserve"> Commission </w:t>
      </w:r>
      <w:r w:rsidR="00181E40" w:rsidRPr="007C4B78">
        <w:rPr>
          <w:rFonts w:asciiTheme="majorHAnsi" w:eastAsia="Calibri" w:hAnsiTheme="majorHAnsi"/>
        </w:rPr>
        <w:t>documented 37 witnesses reporting abuse in special schools for children with intellectual disability.</w:t>
      </w:r>
      <w:r w:rsidR="00181E40" w:rsidRPr="007C4B78">
        <w:rPr>
          <w:rStyle w:val="FootnoteReference"/>
          <w:rFonts w:asciiTheme="majorHAnsi" w:eastAsia="Calibri" w:hAnsiTheme="majorHAnsi"/>
        </w:rPr>
        <w:footnoteReference w:id="194"/>
      </w:r>
      <w:r w:rsidR="00641E77" w:rsidRPr="007C4B78">
        <w:rPr>
          <w:rFonts w:asciiTheme="majorHAnsi" w:eastAsia="Calibri" w:hAnsiTheme="majorHAnsi"/>
        </w:rPr>
        <w:t>One outcome of these reports was a criminali</w:t>
      </w:r>
      <w:r w:rsidR="003654EF" w:rsidRPr="007C4B78">
        <w:rPr>
          <w:rFonts w:asciiTheme="majorHAnsi" w:eastAsia="Calibri" w:hAnsiTheme="majorHAnsi"/>
        </w:rPr>
        <w:t>s</w:t>
      </w:r>
      <w:r w:rsidR="00641E77" w:rsidRPr="007C4B78">
        <w:rPr>
          <w:rFonts w:asciiTheme="majorHAnsi" w:eastAsia="Calibri" w:hAnsiTheme="majorHAnsi"/>
        </w:rPr>
        <w:t>ing of the withholding of information of abuse against a child or vulnerable person</w:t>
      </w:r>
      <w:r w:rsidR="003654EF" w:rsidRPr="007C4B78">
        <w:rPr>
          <w:rFonts w:asciiTheme="majorHAnsi" w:eastAsia="Calibri" w:hAnsiTheme="majorHAnsi"/>
        </w:rPr>
        <w:t xml:space="preserve"> in law in the </w:t>
      </w:r>
      <w:r w:rsidR="003654EF" w:rsidRPr="007C4B78">
        <w:t>Criminal Justice (Withholding of Information on Offences against Children and Vulnerable Persons) Act 2012</w:t>
      </w:r>
      <w:r w:rsidR="00641E77" w:rsidRPr="007C4B78">
        <w:rPr>
          <w:rFonts w:asciiTheme="majorHAnsi" w:eastAsia="Calibri" w:hAnsiTheme="majorHAnsi"/>
        </w:rPr>
        <w:t>.</w:t>
      </w:r>
      <w:r w:rsidR="00641E77" w:rsidRPr="007C4B78">
        <w:rPr>
          <w:rStyle w:val="FootnoteReference"/>
          <w:rFonts w:asciiTheme="majorHAnsi" w:eastAsia="Calibri" w:hAnsiTheme="majorHAnsi"/>
        </w:rPr>
        <w:footnoteReference w:id="195"/>
      </w:r>
    </w:p>
    <w:p w14:paraId="54305F42" w14:textId="77777777" w:rsidR="00181E40" w:rsidRPr="007C4B78" w:rsidRDefault="00181E40" w:rsidP="004D12C3">
      <w:pPr>
        <w:pStyle w:val="Heading4"/>
        <w:jc w:val="both"/>
      </w:pPr>
      <w:r w:rsidRPr="007C4B78">
        <w:t>Background Information</w:t>
      </w:r>
    </w:p>
    <w:p w14:paraId="5EC33C65" w14:textId="77777777" w:rsidR="00181E40" w:rsidRPr="007C4B78" w:rsidRDefault="00181E40" w:rsidP="004D12C3">
      <w:pPr>
        <w:jc w:val="both"/>
        <w:rPr>
          <w:rFonts w:asciiTheme="majorHAnsi" w:eastAsia="Calibri" w:hAnsiTheme="majorHAnsi"/>
        </w:rPr>
      </w:pPr>
      <w:r w:rsidRPr="007C4B78">
        <w:rPr>
          <w:rFonts w:asciiTheme="majorHAnsi" w:eastAsia="Calibri" w:hAnsiTheme="majorHAnsi"/>
        </w:rPr>
        <w:t xml:space="preserve">The Central Statistics Office gathers statistics on crime victims as a part of the Quarterly National Household Survey but the survey does not ask about disability nor are statistics gathered on victims under 18. The most recent statistics on crime victims in Ireland </w:t>
      </w:r>
      <w:r w:rsidR="003654EF" w:rsidRPr="007C4B78">
        <w:rPr>
          <w:rFonts w:asciiTheme="majorHAnsi" w:eastAsia="Calibri" w:hAnsiTheme="majorHAnsi"/>
        </w:rPr>
        <w:t>date from</w:t>
      </w:r>
      <w:r w:rsidRPr="007C4B78">
        <w:rPr>
          <w:rFonts w:asciiTheme="majorHAnsi" w:eastAsia="Calibri" w:hAnsiTheme="majorHAnsi"/>
        </w:rPr>
        <w:t xml:space="preserve"> 2010.</w:t>
      </w:r>
      <w:r w:rsidRPr="007C4B78">
        <w:rPr>
          <w:rStyle w:val="FootnoteReference"/>
          <w:rFonts w:asciiTheme="majorHAnsi" w:eastAsia="Calibri" w:hAnsiTheme="majorHAnsi"/>
        </w:rPr>
        <w:footnoteReference w:id="196"/>
      </w:r>
      <w:r w:rsidRPr="007C4B78">
        <w:rPr>
          <w:rFonts w:asciiTheme="majorHAnsi" w:eastAsia="Calibri" w:hAnsiTheme="majorHAnsi"/>
        </w:rPr>
        <w:t xml:space="preserve">  The</w:t>
      </w:r>
      <w:r w:rsidR="003654EF" w:rsidRPr="007C4B78">
        <w:rPr>
          <w:rFonts w:asciiTheme="majorHAnsi" w:eastAsia="Calibri" w:hAnsiTheme="majorHAnsi"/>
        </w:rPr>
        <w:t>se</w:t>
      </w:r>
      <w:r w:rsidRPr="007C4B78">
        <w:rPr>
          <w:rFonts w:asciiTheme="majorHAnsi" w:eastAsia="Calibri" w:hAnsiTheme="majorHAnsi"/>
        </w:rPr>
        <w:t xml:space="preserve"> statistics are on general victims of crime with no information on what sort of crimes were committed; there is also no information on the ethnicity of crime victims.</w:t>
      </w:r>
      <w:r w:rsidRPr="007C4B78">
        <w:rPr>
          <w:rStyle w:val="FootnoteReference"/>
          <w:rFonts w:asciiTheme="majorHAnsi" w:eastAsia="Calibri" w:hAnsiTheme="majorHAnsi"/>
        </w:rPr>
        <w:footnoteReference w:id="197"/>
      </w:r>
      <w:r w:rsidRPr="007C4B78">
        <w:rPr>
          <w:rFonts w:asciiTheme="majorHAnsi" w:eastAsia="Calibri" w:hAnsiTheme="majorHAnsi"/>
        </w:rPr>
        <w:t xml:space="preserve"> The lack of data on victims with disabilities has been highlighted in other reports.</w:t>
      </w:r>
      <w:r w:rsidRPr="007C4B78">
        <w:rPr>
          <w:rStyle w:val="FootnoteReference"/>
          <w:rFonts w:asciiTheme="majorHAnsi" w:eastAsia="Calibri" w:hAnsiTheme="majorHAnsi"/>
        </w:rPr>
        <w:footnoteReference w:id="198"/>
      </w:r>
      <w:r w:rsidR="0046754F" w:rsidRPr="007C4B78">
        <w:rPr>
          <w:rFonts w:asciiTheme="majorHAnsi" w:eastAsia="Calibri" w:hAnsiTheme="majorHAnsi"/>
        </w:rPr>
        <w:t xml:space="preserve">The absence </w:t>
      </w:r>
      <w:r w:rsidR="00464197" w:rsidRPr="007C4B78">
        <w:rPr>
          <w:rFonts w:asciiTheme="majorHAnsi" w:eastAsia="Calibri" w:hAnsiTheme="majorHAnsi"/>
        </w:rPr>
        <w:t>of such</w:t>
      </w:r>
      <w:r w:rsidRPr="007C4B78">
        <w:rPr>
          <w:rFonts w:asciiTheme="majorHAnsi" w:eastAsia="Calibri" w:hAnsiTheme="majorHAnsi"/>
        </w:rPr>
        <w:t>data on child victims in Ireland is egregious especially in light of the McCoy and Ryan Reports.</w:t>
      </w:r>
    </w:p>
    <w:p w14:paraId="02F0CB3B" w14:textId="77777777" w:rsidR="00181E40" w:rsidRPr="007C4B78" w:rsidRDefault="00181E40" w:rsidP="004D12C3">
      <w:pPr>
        <w:jc w:val="both"/>
        <w:rPr>
          <w:rFonts w:asciiTheme="majorHAnsi" w:eastAsia="Calibri" w:hAnsiTheme="majorHAnsi"/>
        </w:rPr>
      </w:pPr>
    </w:p>
    <w:p w14:paraId="6AB1566C" w14:textId="77777777" w:rsidR="004310C8" w:rsidRPr="007C4B78" w:rsidRDefault="00181E40" w:rsidP="004D12C3">
      <w:pPr>
        <w:jc w:val="both"/>
        <w:rPr>
          <w:rFonts w:asciiTheme="majorHAnsi" w:eastAsia="Calibri" w:hAnsiTheme="majorHAnsi"/>
        </w:rPr>
      </w:pPr>
      <w:r w:rsidRPr="007C4B78">
        <w:rPr>
          <w:rFonts w:asciiTheme="majorHAnsi" w:eastAsia="Calibri" w:hAnsiTheme="majorHAnsi"/>
        </w:rPr>
        <w:t xml:space="preserve">Information on victims with disabilities </w:t>
      </w:r>
      <w:r w:rsidR="000636B9" w:rsidRPr="007C4B78">
        <w:rPr>
          <w:rFonts w:asciiTheme="majorHAnsi" w:eastAsia="Calibri" w:hAnsiTheme="majorHAnsi"/>
        </w:rPr>
        <w:t>is</w:t>
      </w:r>
      <w:r w:rsidR="003654EF" w:rsidRPr="007C4B78">
        <w:rPr>
          <w:rFonts w:asciiTheme="majorHAnsi" w:eastAsia="Calibri" w:hAnsiTheme="majorHAnsi"/>
        </w:rPr>
        <w:t xml:space="preserve"> however available in</w:t>
      </w:r>
      <w:r w:rsidRPr="007C4B78">
        <w:rPr>
          <w:rFonts w:asciiTheme="majorHAnsi" w:eastAsia="Calibri" w:hAnsiTheme="majorHAnsi"/>
        </w:rPr>
        <w:t xml:space="preserve"> reports f</w:t>
      </w:r>
      <w:r w:rsidR="004C0066" w:rsidRPr="007C4B78">
        <w:rPr>
          <w:rFonts w:asciiTheme="majorHAnsi" w:eastAsia="Calibri" w:hAnsiTheme="majorHAnsi"/>
        </w:rPr>
        <w:t>rom NGOs and other organ</w:t>
      </w:r>
      <w:r w:rsidR="00D1494E" w:rsidRPr="007C4B78">
        <w:rPr>
          <w:rFonts w:asciiTheme="majorHAnsi" w:eastAsia="Calibri" w:hAnsiTheme="majorHAnsi"/>
          <w:lang w:val="en-US"/>
        </w:rPr>
        <w:t>i</w:t>
      </w:r>
      <w:r w:rsidR="004C0066" w:rsidRPr="007C4B78">
        <w:rPr>
          <w:rFonts w:asciiTheme="majorHAnsi" w:eastAsia="Calibri" w:hAnsiTheme="majorHAnsi"/>
          <w:lang w:val="en-US"/>
        </w:rPr>
        <w:t>sations.</w:t>
      </w:r>
      <w:r w:rsidR="0094675C" w:rsidRPr="007C4B78">
        <w:rPr>
          <w:rFonts w:asciiTheme="majorHAnsi" w:eastAsia="Calibri" w:hAnsiTheme="majorHAnsi"/>
          <w:lang w:val="en-US"/>
        </w:rPr>
        <w:t xml:space="preserve"> </w:t>
      </w:r>
      <w:r w:rsidRPr="007C4B78">
        <w:rPr>
          <w:rFonts w:asciiTheme="majorHAnsi" w:eastAsia="Calibri" w:hAnsiTheme="majorHAnsi"/>
        </w:rPr>
        <w:t>A report by the Rape Crisis Network in Ireland found that of survivors with a disability 48 percent experienced sexual violence only as a child and 10 percent as both a child and adult.</w:t>
      </w:r>
      <w:r w:rsidRPr="007C4B78">
        <w:rPr>
          <w:rStyle w:val="FootnoteReference"/>
          <w:rFonts w:asciiTheme="majorHAnsi" w:eastAsia="Calibri" w:hAnsiTheme="majorHAnsi"/>
        </w:rPr>
        <w:footnoteReference w:id="199"/>
      </w:r>
      <w:r w:rsidR="0094675C" w:rsidRPr="007C4B78">
        <w:rPr>
          <w:rFonts w:asciiTheme="majorHAnsi" w:eastAsia="Calibri" w:hAnsiTheme="majorHAnsi"/>
        </w:rPr>
        <w:t xml:space="preserve"> </w:t>
      </w:r>
      <w:r w:rsidR="00C47FDB" w:rsidRPr="007C4B78">
        <w:rPr>
          <w:rFonts w:asciiTheme="majorHAnsi" w:eastAsia="Calibri" w:hAnsiTheme="majorHAnsi"/>
        </w:rPr>
        <w:t xml:space="preserve">In </w:t>
      </w:r>
      <w:r w:rsidR="00C47FDB" w:rsidRPr="007C4B78">
        <w:rPr>
          <w:rFonts w:asciiTheme="majorHAnsi" w:eastAsia="Calibri" w:hAnsiTheme="majorHAnsi"/>
          <w:lang w:val="en-US"/>
        </w:rPr>
        <w:t>thi</w:t>
      </w:r>
      <w:r w:rsidR="00C47FDB" w:rsidRPr="007C4B78">
        <w:rPr>
          <w:rFonts w:asciiTheme="majorHAnsi" w:eastAsia="Calibri" w:hAnsiTheme="majorHAnsi"/>
        </w:rPr>
        <w:t xml:space="preserve">s </w:t>
      </w:r>
      <w:r w:rsidR="004310C8" w:rsidRPr="007C4B78">
        <w:rPr>
          <w:rFonts w:asciiTheme="majorHAnsi" w:eastAsia="Calibri" w:hAnsiTheme="majorHAnsi"/>
        </w:rPr>
        <w:t>report</w:t>
      </w:r>
      <w:r w:rsidR="004310C8" w:rsidRPr="007C4B78">
        <w:rPr>
          <w:rFonts w:asciiTheme="majorHAnsi" w:eastAsia="Calibri" w:hAnsiTheme="majorHAnsi"/>
          <w:lang w:val="en-US"/>
        </w:rPr>
        <w:t>the</w:t>
      </w:r>
      <w:r w:rsidR="00C47FDB" w:rsidRPr="007C4B78">
        <w:rPr>
          <w:rFonts w:asciiTheme="majorHAnsi" w:eastAsia="Calibri" w:hAnsiTheme="majorHAnsi"/>
        </w:rPr>
        <w:t xml:space="preserve"> Rape Crisis Network in Ireland recommended awareness raising and working with disability service providers to develop best practices and further training.</w:t>
      </w:r>
      <w:r w:rsidR="00C47FDB" w:rsidRPr="007C4B78">
        <w:rPr>
          <w:rStyle w:val="FootnoteReference"/>
          <w:rFonts w:asciiTheme="majorHAnsi" w:eastAsia="Calibri" w:hAnsiTheme="majorHAnsi"/>
        </w:rPr>
        <w:footnoteReference w:id="200"/>
      </w:r>
      <w:r w:rsidR="00C47FDB" w:rsidRPr="007C4B78">
        <w:rPr>
          <w:rFonts w:asciiTheme="majorHAnsi" w:eastAsia="Calibri" w:hAnsiTheme="majorHAnsi"/>
        </w:rPr>
        <w:t xml:space="preserve"> The report also</w:t>
      </w:r>
      <w:r w:rsidR="0094675C" w:rsidRPr="007C4B78">
        <w:rPr>
          <w:rFonts w:asciiTheme="majorHAnsi" w:eastAsia="Calibri" w:hAnsiTheme="majorHAnsi"/>
        </w:rPr>
        <w:t xml:space="preserve"> </w:t>
      </w:r>
      <w:r w:rsidR="004310C8" w:rsidRPr="007C4B78">
        <w:rPr>
          <w:rFonts w:asciiTheme="majorHAnsi" w:eastAsia="Calibri" w:hAnsiTheme="majorHAnsi"/>
        </w:rPr>
        <w:t>recommended the collection of data on disability when collecting data on sexual violence.</w:t>
      </w:r>
      <w:r w:rsidR="004310C8" w:rsidRPr="007C4B78">
        <w:rPr>
          <w:rStyle w:val="FootnoteReference"/>
          <w:rFonts w:asciiTheme="majorHAnsi" w:eastAsia="Calibri" w:hAnsiTheme="majorHAnsi"/>
        </w:rPr>
        <w:footnoteReference w:id="201"/>
      </w:r>
    </w:p>
    <w:p w14:paraId="304D4BB9" w14:textId="77777777" w:rsidR="00B307B9" w:rsidRPr="007C4B78" w:rsidRDefault="00B307B9" w:rsidP="004D12C3">
      <w:pPr>
        <w:jc w:val="both"/>
        <w:rPr>
          <w:rFonts w:asciiTheme="majorHAnsi" w:eastAsia="Calibri" w:hAnsiTheme="majorHAnsi"/>
          <w:lang w:val="en-US"/>
        </w:rPr>
      </w:pPr>
    </w:p>
    <w:p w14:paraId="205EC490" w14:textId="77777777" w:rsidR="003912B7" w:rsidRPr="007C4B78" w:rsidRDefault="003912B7" w:rsidP="004D12C3">
      <w:pPr>
        <w:jc w:val="both"/>
        <w:rPr>
          <w:rFonts w:asciiTheme="majorHAnsi" w:eastAsia="Calibri" w:hAnsiTheme="majorHAnsi"/>
        </w:rPr>
      </w:pPr>
      <w:r w:rsidRPr="007C4B78">
        <w:rPr>
          <w:rFonts w:asciiTheme="majorHAnsi" w:eastAsia="Calibri" w:hAnsiTheme="majorHAnsi"/>
        </w:rPr>
        <w:lastRenderedPageBreak/>
        <w:t xml:space="preserve">The National Disability Authority published a paper in 2012 that discussed the difficulties persons with disabilities </w:t>
      </w:r>
      <w:r w:rsidR="006027A6" w:rsidRPr="007C4B78">
        <w:rPr>
          <w:rFonts w:asciiTheme="majorHAnsi" w:eastAsia="Calibri" w:hAnsiTheme="majorHAnsi"/>
        </w:rPr>
        <w:t xml:space="preserve">faced </w:t>
      </w:r>
      <w:r w:rsidRPr="007C4B78">
        <w:rPr>
          <w:rFonts w:asciiTheme="majorHAnsi" w:eastAsia="Calibri" w:hAnsiTheme="majorHAnsi"/>
        </w:rPr>
        <w:t xml:space="preserve">in accessing the </w:t>
      </w:r>
      <w:r w:rsidR="006027A6" w:rsidRPr="007C4B78">
        <w:rPr>
          <w:rFonts w:asciiTheme="majorHAnsi" w:eastAsia="Calibri" w:hAnsiTheme="majorHAnsi"/>
        </w:rPr>
        <w:t xml:space="preserve">criminal justice </w:t>
      </w:r>
      <w:r w:rsidRPr="007C4B78">
        <w:rPr>
          <w:rFonts w:asciiTheme="majorHAnsi" w:eastAsia="Calibri" w:hAnsiTheme="majorHAnsi"/>
        </w:rPr>
        <w:t>system and highlighted practices in other countries that Ireland should look into in order to increase persons with disabilities access to justice, including gathering more detailed data on victims of crime with disabilities, providing individualised support to people with disabilities at all stages of the criminal process, and developing more tailored training programmes for law enforcement and those involved in the administration of justice.</w:t>
      </w:r>
      <w:r w:rsidRPr="007C4B78">
        <w:rPr>
          <w:rStyle w:val="FootnoteReference"/>
          <w:rFonts w:asciiTheme="majorHAnsi" w:eastAsia="Calibri" w:hAnsiTheme="majorHAnsi"/>
        </w:rPr>
        <w:footnoteReference w:id="202"/>
      </w:r>
    </w:p>
    <w:p w14:paraId="6EA77F4F" w14:textId="77777777" w:rsidR="00372799" w:rsidRPr="007C4B78" w:rsidRDefault="00372799" w:rsidP="004D12C3">
      <w:pPr>
        <w:jc w:val="both"/>
        <w:rPr>
          <w:rFonts w:asciiTheme="majorHAnsi" w:eastAsia="Calibri" w:hAnsiTheme="majorHAnsi"/>
        </w:rPr>
      </w:pPr>
    </w:p>
    <w:p w14:paraId="2ACBDFFA" w14:textId="77777777" w:rsidR="003912B7" w:rsidRPr="007C4B78" w:rsidRDefault="003912B7" w:rsidP="004D12C3">
      <w:pPr>
        <w:jc w:val="both"/>
        <w:rPr>
          <w:rFonts w:asciiTheme="majorHAnsi" w:eastAsia="Calibri" w:hAnsiTheme="majorHAnsi"/>
        </w:rPr>
      </w:pPr>
    </w:p>
    <w:p w14:paraId="6A5C5169" w14:textId="77777777" w:rsidR="003912B7" w:rsidRPr="007C4B78" w:rsidRDefault="003912B7" w:rsidP="004D12C3">
      <w:pPr>
        <w:jc w:val="both"/>
        <w:rPr>
          <w:rFonts w:asciiTheme="majorHAnsi" w:eastAsia="Calibri" w:hAnsiTheme="majorHAnsi"/>
        </w:rPr>
      </w:pPr>
      <w:r w:rsidRPr="007C4B78">
        <w:rPr>
          <w:rFonts w:asciiTheme="majorHAnsi" w:eastAsia="Calibri" w:hAnsiTheme="majorHAnsi"/>
        </w:rPr>
        <w:t xml:space="preserve">It is important to note that many of the </w:t>
      </w:r>
      <w:r w:rsidR="006027A6" w:rsidRPr="007C4B78">
        <w:rPr>
          <w:rFonts w:asciiTheme="majorHAnsi" w:eastAsia="Calibri" w:hAnsiTheme="majorHAnsi"/>
        </w:rPr>
        <w:t>government strategies and policies on</w:t>
      </w:r>
      <w:r w:rsidRPr="007C4B78">
        <w:rPr>
          <w:rFonts w:asciiTheme="majorHAnsi" w:eastAsia="Calibri" w:hAnsiTheme="majorHAnsi"/>
        </w:rPr>
        <w:t xml:space="preserve"> child victims and offenders</w:t>
      </w:r>
      <w:r w:rsidR="006027A6" w:rsidRPr="007C4B78">
        <w:rPr>
          <w:rFonts w:asciiTheme="majorHAnsi" w:eastAsia="Calibri" w:hAnsiTheme="majorHAnsi"/>
        </w:rPr>
        <w:t>, and evaluations of existing victim support services in Ireland</w:t>
      </w:r>
      <w:r w:rsidRPr="007C4B78">
        <w:rPr>
          <w:rFonts w:asciiTheme="majorHAnsi" w:eastAsia="Calibri" w:hAnsiTheme="majorHAnsi"/>
        </w:rPr>
        <w:t xml:space="preserve"> make absolutely no mention of children with cognitive disabilities.</w:t>
      </w:r>
      <w:r w:rsidRPr="007C4B78">
        <w:rPr>
          <w:rStyle w:val="FootnoteReference"/>
          <w:rFonts w:asciiTheme="majorHAnsi" w:eastAsia="Calibri" w:hAnsiTheme="majorHAnsi"/>
        </w:rPr>
        <w:footnoteReference w:id="203"/>
      </w:r>
    </w:p>
    <w:p w14:paraId="72AC0FF2" w14:textId="77777777" w:rsidR="003912B7" w:rsidRPr="007C4B78" w:rsidRDefault="003912B7" w:rsidP="004D12C3">
      <w:pPr>
        <w:jc w:val="both"/>
        <w:rPr>
          <w:rFonts w:asciiTheme="majorHAnsi" w:eastAsia="Calibri" w:hAnsiTheme="majorHAnsi"/>
        </w:rPr>
      </w:pPr>
    </w:p>
    <w:p w14:paraId="4DEC98D8" w14:textId="77777777" w:rsidR="009E553D" w:rsidRPr="007C4B78" w:rsidRDefault="003912B7" w:rsidP="004D12C3">
      <w:pPr>
        <w:jc w:val="both"/>
      </w:pPr>
      <w:r w:rsidRPr="007C4B78">
        <w:rPr>
          <w:rFonts w:asciiTheme="majorHAnsi" w:eastAsia="Calibri" w:hAnsiTheme="majorHAnsi"/>
        </w:rPr>
        <w:t xml:space="preserve">The Irish Council for Civil Liberties </w:t>
      </w:r>
      <w:r w:rsidR="006027A6" w:rsidRPr="007C4B78">
        <w:rPr>
          <w:rFonts w:asciiTheme="majorHAnsi" w:eastAsia="Calibri" w:hAnsiTheme="majorHAnsi"/>
        </w:rPr>
        <w:t>commissioned</w:t>
      </w:r>
      <w:r w:rsidRPr="007C4B78">
        <w:rPr>
          <w:rFonts w:asciiTheme="majorHAnsi" w:eastAsia="Calibri" w:hAnsiTheme="majorHAnsi"/>
        </w:rPr>
        <w:t xml:space="preserve"> a comparative law report on the legal provisions and supports for people with disabilities as victims of crime,</w:t>
      </w:r>
      <w:r w:rsidR="006A3D24" w:rsidRPr="007C4B78">
        <w:rPr>
          <w:rFonts w:asciiTheme="majorHAnsi" w:eastAsia="Calibri" w:hAnsiTheme="majorHAnsi"/>
        </w:rPr>
        <w:t xml:space="preserve"> published in 2013. However,</w:t>
      </w:r>
      <w:r w:rsidRPr="007C4B78">
        <w:rPr>
          <w:rFonts w:asciiTheme="majorHAnsi" w:eastAsia="Calibri" w:hAnsiTheme="majorHAnsi"/>
        </w:rPr>
        <w:t xml:space="preserve"> the report does not specifically </w:t>
      </w:r>
      <w:r w:rsidR="006A3D24" w:rsidRPr="007C4B78">
        <w:rPr>
          <w:rFonts w:asciiTheme="majorHAnsi" w:eastAsia="Calibri" w:hAnsiTheme="majorHAnsi"/>
        </w:rPr>
        <w:t xml:space="preserve">examine the experiences of </w:t>
      </w:r>
      <w:r w:rsidRPr="007C4B78">
        <w:rPr>
          <w:rFonts w:asciiTheme="majorHAnsi" w:eastAsia="Calibri" w:hAnsiTheme="majorHAnsi"/>
        </w:rPr>
        <w:t>children as victims. The report states that victims with disabilities remain largely invisible in Ireland at all levels of the system.</w:t>
      </w:r>
      <w:r w:rsidRPr="007C4B78">
        <w:rPr>
          <w:rStyle w:val="FootnoteReference"/>
          <w:rFonts w:asciiTheme="majorHAnsi" w:eastAsia="Calibri" w:hAnsiTheme="majorHAnsi"/>
        </w:rPr>
        <w:footnoteReference w:id="204"/>
      </w:r>
      <w:r w:rsidRPr="007C4B78">
        <w:rPr>
          <w:rFonts w:asciiTheme="majorHAnsi" w:eastAsia="Calibri" w:hAnsiTheme="majorHAnsi"/>
        </w:rPr>
        <w:t xml:space="preserve"> The report calls for training of all agencies that have contact with victims with disabilities to counter the inaccessibility of the system.</w:t>
      </w:r>
      <w:r w:rsidR="008D62E2" w:rsidRPr="007C4B78">
        <w:rPr>
          <w:rFonts w:asciiTheme="majorHAnsi" w:eastAsia="Calibri" w:hAnsiTheme="majorHAnsi"/>
        </w:rPr>
        <w:t xml:space="preserve"> It also</w:t>
      </w:r>
      <w:r w:rsidRPr="007C4B78">
        <w:t xml:space="preserve"> summari</w:t>
      </w:r>
      <w:r w:rsidR="008D62E2" w:rsidRPr="007C4B78">
        <w:t>s</w:t>
      </w:r>
      <w:r w:rsidRPr="007C4B78">
        <w:t xml:space="preserve">es several cases that involved </w:t>
      </w:r>
      <w:r w:rsidR="008D62E2" w:rsidRPr="007C4B78">
        <w:t xml:space="preserve">decisions about the </w:t>
      </w:r>
      <w:r w:rsidRPr="007C4B78">
        <w:t>capacity of adult victims and witnesses with disabilities to testify, be sworn in and give evidence</w:t>
      </w:r>
      <w:r w:rsidR="008D62E2" w:rsidRPr="007C4B78">
        <w:t xml:space="preserve"> in criminal cases</w:t>
      </w:r>
      <w:r w:rsidRPr="007C4B78">
        <w:t>.</w:t>
      </w:r>
      <w:r w:rsidRPr="007C4B78">
        <w:rPr>
          <w:rStyle w:val="FootnoteReference"/>
          <w:rFonts w:asciiTheme="majorHAnsi" w:eastAsia="Calibri" w:hAnsiTheme="majorHAnsi" w:cs="Times"/>
        </w:rPr>
        <w:footnoteReference w:id="205"/>
      </w:r>
    </w:p>
    <w:p w14:paraId="08B07FE6" w14:textId="77777777" w:rsidR="006235AF" w:rsidRPr="007C4B78" w:rsidRDefault="002A1CCC" w:rsidP="004D12C3">
      <w:pPr>
        <w:pStyle w:val="Heading3"/>
        <w:jc w:val="both"/>
      </w:pPr>
      <w:bookmarkStart w:id="38" w:name="_Toc417303164"/>
      <w:r w:rsidRPr="007C4B78">
        <w:t>Relevant Laws and Policies</w:t>
      </w:r>
      <w:bookmarkEnd w:id="38"/>
    </w:p>
    <w:p w14:paraId="76273D78" w14:textId="77777777" w:rsidR="001149FA" w:rsidRPr="007C4B78" w:rsidRDefault="001149FA" w:rsidP="004D12C3">
      <w:pPr>
        <w:jc w:val="both"/>
        <w:rPr>
          <w:rFonts w:asciiTheme="majorHAnsi" w:eastAsia="Calibri" w:hAnsiTheme="majorHAnsi"/>
        </w:rPr>
      </w:pPr>
      <w:r w:rsidRPr="007C4B78">
        <w:rPr>
          <w:rFonts w:asciiTheme="majorHAnsi" w:eastAsia="Calibri" w:hAnsiTheme="majorHAnsi"/>
        </w:rPr>
        <w:t xml:space="preserve">The Children Act of 2001 requires that </w:t>
      </w:r>
      <w:r w:rsidR="00464197" w:rsidRPr="007C4B78">
        <w:rPr>
          <w:rFonts w:asciiTheme="majorHAnsi" w:eastAsia="Calibri" w:hAnsiTheme="majorHAnsi"/>
        </w:rPr>
        <w:t>the Garda</w:t>
      </w:r>
      <w:r w:rsidR="0005600E" w:rsidRPr="007C4B78">
        <w:rPr>
          <w:rFonts w:asciiTheme="majorHAnsi" w:eastAsia="Calibri" w:hAnsiTheme="majorHAnsi"/>
        </w:rPr>
        <w:t>í</w:t>
      </w:r>
      <w:r w:rsidR="00464197" w:rsidRPr="007C4B78">
        <w:rPr>
          <w:rFonts w:asciiTheme="majorHAnsi" w:eastAsia="Calibri" w:hAnsiTheme="majorHAnsi"/>
        </w:rPr>
        <w:t xml:space="preserve"> treat children with respect and dignity</w:t>
      </w:r>
      <w:r w:rsidRPr="007C4B78">
        <w:rPr>
          <w:rFonts w:asciiTheme="majorHAnsi" w:eastAsia="Calibri" w:hAnsiTheme="majorHAnsi"/>
        </w:rPr>
        <w:t xml:space="preserve"> and that the Garda must take into consideration any special needs of a child with a </w:t>
      </w:r>
      <w:r w:rsidR="00654B52" w:rsidRPr="007C4B78">
        <w:rPr>
          <w:rFonts w:asciiTheme="majorHAnsi" w:eastAsia="Calibri" w:hAnsiTheme="majorHAnsi"/>
        </w:rPr>
        <w:t>cognitive disability</w:t>
      </w:r>
      <w:r w:rsidRPr="007C4B78">
        <w:rPr>
          <w:rFonts w:asciiTheme="majorHAnsi" w:eastAsia="Calibri" w:hAnsiTheme="majorHAnsi"/>
        </w:rPr>
        <w:t>.</w:t>
      </w:r>
      <w:r w:rsidRPr="007C4B78">
        <w:rPr>
          <w:rStyle w:val="FootnoteReference"/>
          <w:rFonts w:asciiTheme="majorHAnsi" w:eastAsia="Calibri" w:hAnsiTheme="majorHAnsi"/>
        </w:rPr>
        <w:footnoteReference w:id="206"/>
      </w:r>
    </w:p>
    <w:p w14:paraId="5A6E1728" w14:textId="77777777" w:rsidR="001149FA" w:rsidRPr="007C4B78" w:rsidRDefault="001149FA" w:rsidP="004D12C3">
      <w:pPr>
        <w:jc w:val="both"/>
        <w:rPr>
          <w:rFonts w:asciiTheme="majorHAnsi" w:eastAsia="Calibri" w:hAnsiTheme="majorHAnsi"/>
          <w:u w:val="single"/>
        </w:rPr>
      </w:pPr>
    </w:p>
    <w:p w14:paraId="4C7B4F65" w14:textId="77777777" w:rsidR="006B7F10" w:rsidRPr="007C4B78" w:rsidRDefault="00D12FE6" w:rsidP="004D12C3">
      <w:pPr>
        <w:jc w:val="both"/>
        <w:rPr>
          <w:rFonts w:asciiTheme="majorHAnsi" w:eastAsia="Calibri" w:hAnsiTheme="majorHAnsi"/>
        </w:rPr>
      </w:pPr>
      <w:r w:rsidRPr="007C4B78">
        <w:rPr>
          <w:rFonts w:asciiTheme="majorHAnsi" w:eastAsia="Calibri" w:hAnsiTheme="majorHAnsi"/>
        </w:rPr>
        <w:t xml:space="preserve">The Victim’s Charter of 2010 sets out that the </w:t>
      </w:r>
      <w:r w:rsidRPr="007C4B78">
        <w:rPr>
          <w:rFonts w:asciiTheme="majorHAnsi" w:eastAsia="Calibri" w:hAnsiTheme="majorHAnsi" w:cs="Helvetica"/>
        </w:rPr>
        <w:t>Garda</w:t>
      </w:r>
      <w:r w:rsidR="0005600E" w:rsidRPr="007C4B78">
        <w:rPr>
          <w:rFonts w:asciiTheme="majorHAnsi" w:eastAsia="Calibri" w:hAnsiTheme="majorHAnsi" w:cs="Helvetica"/>
        </w:rPr>
        <w:t>í</w:t>
      </w:r>
      <w:r w:rsidRPr="007C4B78">
        <w:rPr>
          <w:rFonts w:asciiTheme="majorHAnsi" w:eastAsia="Calibri" w:hAnsiTheme="majorHAnsi" w:cs="Helvetica"/>
        </w:rPr>
        <w:t xml:space="preserve"> will treat victims with dignity and respect regardless of the age or disability of the victim.</w:t>
      </w:r>
      <w:r w:rsidRPr="007C4B78">
        <w:rPr>
          <w:rStyle w:val="FootnoteReference"/>
          <w:rFonts w:asciiTheme="majorHAnsi" w:eastAsia="Calibri" w:hAnsiTheme="majorHAnsi" w:cs="Helvetica"/>
        </w:rPr>
        <w:footnoteReference w:id="207"/>
      </w:r>
      <w:r w:rsidRPr="007C4B78">
        <w:rPr>
          <w:rFonts w:asciiTheme="majorHAnsi" w:eastAsia="Calibri" w:hAnsiTheme="majorHAnsi" w:cs="Helvetica"/>
        </w:rPr>
        <w:t xml:space="preserve"> The charter also states that the police will take into account any “special needs” or requiremen</w:t>
      </w:r>
      <w:r w:rsidR="0007450C" w:rsidRPr="007C4B78">
        <w:rPr>
          <w:rFonts w:asciiTheme="majorHAnsi" w:eastAsia="Calibri" w:hAnsiTheme="majorHAnsi" w:cs="Helvetica"/>
        </w:rPr>
        <w:t>ts of victims with disabilities</w:t>
      </w:r>
      <w:r w:rsidR="0007450C" w:rsidRPr="007C4B78">
        <w:rPr>
          <w:rFonts w:asciiTheme="majorHAnsi" w:eastAsia="Calibri" w:hAnsiTheme="majorHAnsi" w:cs="Helvetica"/>
          <w:lang w:val="en-US"/>
        </w:rPr>
        <w:t>.</w:t>
      </w:r>
      <w:r w:rsidRPr="007C4B78">
        <w:rPr>
          <w:rStyle w:val="FootnoteReference"/>
          <w:rFonts w:asciiTheme="majorHAnsi" w:eastAsia="Calibri" w:hAnsiTheme="majorHAnsi" w:cs="Helvetica"/>
        </w:rPr>
        <w:footnoteReference w:id="208"/>
      </w:r>
      <w:r w:rsidR="006B7F10" w:rsidRPr="007C4B78">
        <w:rPr>
          <w:rFonts w:asciiTheme="majorHAnsi" w:eastAsia="Calibri" w:hAnsiTheme="majorHAnsi"/>
        </w:rPr>
        <w:t xml:space="preserve">  Some </w:t>
      </w:r>
      <w:r w:rsidR="003A6843" w:rsidRPr="007C4B78">
        <w:rPr>
          <w:rFonts w:asciiTheme="majorHAnsi" w:eastAsia="Calibri" w:hAnsiTheme="majorHAnsi"/>
        </w:rPr>
        <w:t xml:space="preserve">commentators suggest </w:t>
      </w:r>
      <w:r w:rsidR="006B7F10" w:rsidRPr="007C4B78">
        <w:rPr>
          <w:rFonts w:asciiTheme="majorHAnsi" w:eastAsia="Calibri" w:hAnsiTheme="majorHAnsi"/>
        </w:rPr>
        <w:t>that the EU Directive on Victim’s Rights</w:t>
      </w:r>
      <w:r w:rsidR="006B7F10" w:rsidRPr="007C4B78">
        <w:rPr>
          <w:rStyle w:val="FootnoteReference"/>
          <w:rFonts w:asciiTheme="majorHAnsi" w:eastAsia="Calibri" w:hAnsiTheme="majorHAnsi"/>
        </w:rPr>
        <w:footnoteReference w:id="209"/>
      </w:r>
      <w:proofErr w:type="gramStart"/>
      <w:r w:rsidR="007B462E" w:rsidRPr="007C4B78">
        <w:rPr>
          <w:rFonts w:asciiTheme="majorHAnsi" w:eastAsia="Calibri" w:hAnsiTheme="majorHAnsi"/>
        </w:rPr>
        <w:t xml:space="preserve"> </w:t>
      </w:r>
      <w:r w:rsidR="003A6843" w:rsidRPr="007C4B78">
        <w:rPr>
          <w:rFonts w:asciiTheme="majorHAnsi" w:eastAsia="Calibri" w:hAnsiTheme="majorHAnsi"/>
        </w:rPr>
        <w:t xml:space="preserve">which </w:t>
      </w:r>
      <w:r w:rsidR="006B7F10" w:rsidRPr="007C4B78">
        <w:rPr>
          <w:rFonts w:asciiTheme="majorHAnsi" w:eastAsia="Calibri" w:hAnsiTheme="majorHAnsi"/>
        </w:rPr>
        <w:t xml:space="preserve">must be implemented </w:t>
      </w:r>
      <w:r w:rsidR="003A6843" w:rsidRPr="007C4B78">
        <w:rPr>
          <w:rFonts w:asciiTheme="majorHAnsi" w:eastAsia="Calibri" w:hAnsiTheme="majorHAnsi"/>
        </w:rPr>
        <w:t>by Ireland</w:t>
      </w:r>
      <w:r w:rsidR="006B7F10" w:rsidRPr="007C4B78">
        <w:rPr>
          <w:rFonts w:asciiTheme="majorHAnsi" w:eastAsia="Calibri" w:hAnsiTheme="majorHAnsi"/>
        </w:rPr>
        <w:t xml:space="preserve"> by </w:t>
      </w:r>
      <w:r w:rsidR="006B7F10" w:rsidRPr="007C4B78">
        <w:rPr>
          <w:rFonts w:asciiTheme="majorHAnsi" w:eastAsia="Calibri" w:hAnsiTheme="majorHAnsi"/>
        </w:rPr>
        <w:lastRenderedPageBreak/>
        <w:t>November 2015</w:t>
      </w:r>
      <w:proofErr w:type="gramEnd"/>
      <w:r w:rsidR="006B7F10" w:rsidRPr="007C4B78">
        <w:rPr>
          <w:rFonts w:asciiTheme="majorHAnsi" w:eastAsia="Calibri" w:hAnsiTheme="majorHAnsi"/>
        </w:rPr>
        <w:t xml:space="preserve"> will have immediate positive impact for victims with cognitive disability because it has several provisions protecting </w:t>
      </w:r>
      <w:r w:rsidR="003A6843" w:rsidRPr="007C4B78">
        <w:rPr>
          <w:rFonts w:asciiTheme="majorHAnsi" w:eastAsia="Calibri" w:hAnsiTheme="majorHAnsi"/>
        </w:rPr>
        <w:t>so-called ‘</w:t>
      </w:r>
      <w:r w:rsidR="006B7F10" w:rsidRPr="007C4B78">
        <w:rPr>
          <w:rFonts w:asciiTheme="majorHAnsi" w:eastAsia="Calibri" w:hAnsiTheme="majorHAnsi"/>
        </w:rPr>
        <w:t>vulnerable</w:t>
      </w:r>
      <w:r w:rsidR="003A6843" w:rsidRPr="007C4B78">
        <w:rPr>
          <w:rFonts w:asciiTheme="majorHAnsi" w:eastAsia="Calibri" w:hAnsiTheme="majorHAnsi"/>
        </w:rPr>
        <w:t>’</w:t>
      </w:r>
      <w:r w:rsidR="006B7F10" w:rsidRPr="007C4B78">
        <w:rPr>
          <w:rFonts w:asciiTheme="majorHAnsi" w:eastAsia="Calibri" w:hAnsiTheme="majorHAnsi"/>
        </w:rPr>
        <w:t xml:space="preserve"> victims of crimes.</w:t>
      </w:r>
      <w:r w:rsidR="006B7F10" w:rsidRPr="007C4B78">
        <w:rPr>
          <w:rStyle w:val="FootnoteReference"/>
          <w:rFonts w:asciiTheme="majorHAnsi" w:eastAsia="Calibri" w:hAnsiTheme="majorHAnsi"/>
        </w:rPr>
        <w:footnoteReference w:id="210"/>
      </w:r>
    </w:p>
    <w:p w14:paraId="31A1A4D1" w14:textId="77777777" w:rsidR="00D12FE6" w:rsidRPr="007C4B78" w:rsidRDefault="00D12FE6" w:rsidP="004D12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Calibri" w:hAnsiTheme="majorHAnsi" w:cs="Helvetica"/>
        </w:rPr>
      </w:pPr>
    </w:p>
    <w:p w14:paraId="213CB893" w14:textId="77777777" w:rsidR="00D12FE6" w:rsidRPr="007C4B78" w:rsidRDefault="00D12FE6" w:rsidP="004D12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Calibri" w:hAnsiTheme="majorHAnsi" w:cs="Helvetica"/>
        </w:rPr>
      </w:pPr>
      <w:r w:rsidRPr="007C4B78">
        <w:rPr>
          <w:rFonts w:asciiTheme="majorHAnsi" w:eastAsia="Calibri" w:hAnsiTheme="majorHAnsi" w:cs="Helvetica"/>
        </w:rPr>
        <w:t>After the Garda</w:t>
      </w:r>
      <w:r w:rsidR="0005600E" w:rsidRPr="007C4B78">
        <w:rPr>
          <w:rFonts w:asciiTheme="majorHAnsi" w:eastAsia="Calibri" w:hAnsiTheme="majorHAnsi" w:cs="Helvetica"/>
        </w:rPr>
        <w:t>í</w:t>
      </w:r>
      <w:r w:rsidRPr="007C4B78">
        <w:rPr>
          <w:rFonts w:asciiTheme="majorHAnsi" w:eastAsia="Calibri" w:hAnsiTheme="majorHAnsi" w:cs="Helvetica"/>
        </w:rPr>
        <w:t xml:space="preserve"> investigate a crime</w:t>
      </w:r>
      <w:r w:rsidR="0005600E" w:rsidRPr="007C4B78">
        <w:rPr>
          <w:rFonts w:asciiTheme="majorHAnsi" w:eastAsia="Calibri" w:hAnsiTheme="majorHAnsi" w:cs="Helvetica"/>
        </w:rPr>
        <w:t>,</w:t>
      </w:r>
      <w:r w:rsidRPr="007C4B78">
        <w:rPr>
          <w:rFonts w:asciiTheme="majorHAnsi" w:eastAsia="Calibri" w:hAnsiTheme="majorHAnsi" w:cs="Helvetica"/>
        </w:rPr>
        <w:t xml:space="preserve"> the Director of Public Prosecutions (DPP) then decides whether or not to prosecute and what the charges should be.</w:t>
      </w:r>
      <w:r w:rsidRPr="007C4B78">
        <w:rPr>
          <w:rStyle w:val="FootnoteReference"/>
          <w:rFonts w:asciiTheme="majorHAnsi" w:eastAsia="Calibri" w:hAnsiTheme="majorHAnsi" w:cs="Helvetica"/>
        </w:rPr>
        <w:footnoteReference w:id="211"/>
      </w:r>
      <w:r w:rsidRPr="007C4B78">
        <w:rPr>
          <w:rFonts w:asciiTheme="majorHAnsi" w:eastAsia="Calibri" w:hAnsiTheme="majorHAnsi" w:cs="Helvetica"/>
        </w:rPr>
        <w:t xml:space="preserve"> The guidelines for prosecutors require that prosecutors consider the impact on a child of going to trial and the ability of a child to provide a relevant</w:t>
      </w:r>
      <w:r w:rsidR="0005600E" w:rsidRPr="007C4B78">
        <w:rPr>
          <w:rFonts w:asciiTheme="majorHAnsi" w:eastAsia="Calibri" w:hAnsiTheme="majorHAnsi" w:cs="Helvetica"/>
        </w:rPr>
        <w:t xml:space="preserve"> and</w:t>
      </w:r>
      <w:r w:rsidRPr="007C4B78">
        <w:rPr>
          <w:rFonts w:asciiTheme="majorHAnsi" w:eastAsia="Calibri" w:hAnsiTheme="majorHAnsi" w:cs="Helvetica"/>
        </w:rPr>
        <w:t xml:space="preserve"> intelligible account</w:t>
      </w:r>
      <w:r w:rsidR="0094675C" w:rsidRPr="007C4B78">
        <w:rPr>
          <w:rFonts w:asciiTheme="majorHAnsi" w:eastAsia="Calibri" w:hAnsiTheme="majorHAnsi" w:cs="Helvetica"/>
        </w:rPr>
        <w:t xml:space="preserve"> </w:t>
      </w:r>
      <w:r w:rsidR="0005600E" w:rsidRPr="007C4B78">
        <w:rPr>
          <w:rFonts w:asciiTheme="majorHAnsi" w:eastAsia="Calibri" w:hAnsiTheme="majorHAnsi" w:cs="Helvetica"/>
        </w:rPr>
        <w:t>at trial</w:t>
      </w:r>
      <w:r w:rsidRPr="007C4B78">
        <w:rPr>
          <w:rFonts w:asciiTheme="majorHAnsi" w:eastAsia="Calibri" w:hAnsiTheme="majorHAnsi" w:cs="Helvetica"/>
        </w:rPr>
        <w:t>.</w:t>
      </w:r>
      <w:r w:rsidRPr="007C4B78">
        <w:rPr>
          <w:rStyle w:val="FootnoteReference"/>
          <w:rFonts w:asciiTheme="majorHAnsi" w:eastAsia="Calibri" w:hAnsiTheme="majorHAnsi" w:cs="Helvetica"/>
        </w:rPr>
        <w:footnoteReference w:id="212"/>
      </w:r>
      <w:r w:rsidRPr="007C4B78">
        <w:rPr>
          <w:rFonts w:asciiTheme="majorHAnsi" w:eastAsia="Calibri" w:hAnsiTheme="majorHAnsi" w:cs="Helvetica"/>
        </w:rPr>
        <w:t xml:space="preserve"> Prosecutors are also </w:t>
      </w:r>
      <w:r w:rsidR="0005600E" w:rsidRPr="007C4B78">
        <w:rPr>
          <w:rFonts w:asciiTheme="majorHAnsi" w:eastAsia="Calibri" w:hAnsiTheme="majorHAnsi" w:cs="Helvetica"/>
        </w:rPr>
        <w:t xml:space="preserve">required </w:t>
      </w:r>
      <w:r w:rsidRPr="007C4B78">
        <w:rPr>
          <w:rFonts w:asciiTheme="majorHAnsi" w:eastAsia="Calibri" w:hAnsiTheme="majorHAnsi" w:cs="Helvetica"/>
        </w:rPr>
        <w:t>to consider the option of video testimony i</w:t>
      </w:r>
      <w:r w:rsidR="0005600E" w:rsidRPr="007C4B78">
        <w:rPr>
          <w:rFonts w:asciiTheme="majorHAnsi" w:eastAsia="Calibri" w:hAnsiTheme="majorHAnsi" w:cs="Helvetica"/>
        </w:rPr>
        <w:t>n</w:t>
      </w:r>
      <w:r w:rsidRPr="007C4B78">
        <w:rPr>
          <w:rFonts w:asciiTheme="majorHAnsi" w:eastAsia="Calibri" w:hAnsiTheme="majorHAnsi" w:cs="Helvetica"/>
        </w:rPr>
        <w:t xml:space="preserve"> cases of violent or sexual offences. </w:t>
      </w:r>
      <w:r w:rsidRPr="007C4B78">
        <w:rPr>
          <w:rStyle w:val="FootnoteReference"/>
          <w:rFonts w:asciiTheme="majorHAnsi" w:eastAsia="Calibri" w:hAnsiTheme="majorHAnsi" w:cs="Helvetica"/>
        </w:rPr>
        <w:footnoteReference w:id="213"/>
      </w:r>
      <w:r w:rsidRPr="007C4B78">
        <w:rPr>
          <w:rFonts w:asciiTheme="majorHAnsi" w:eastAsia="Calibri" w:hAnsiTheme="majorHAnsi" w:cs="Helvetica"/>
        </w:rPr>
        <w:t xml:space="preserve"> The guidelines also ask prosecutors to consider </w:t>
      </w:r>
      <w:r w:rsidR="0005600E" w:rsidRPr="007C4B78">
        <w:rPr>
          <w:rFonts w:asciiTheme="majorHAnsi" w:eastAsia="Calibri" w:hAnsiTheme="majorHAnsi" w:cs="Helvetica"/>
        </w:rPr>
        <w:t>whether</w:t>
      </w:r>
      <w:r w:rsidRPr="007C4B78">
        <w:rPr>
          <w:rFonts w:asciiTheme="majorHAnsi" w:eastAsia="Calibri" w:hAnsiTheme="majorHAnsi" w:cs="Helvetica"/>
        </w:rPr>
        <w:t xml:space="preserve"> a witness with a disability is “capable of giving an intelligible account of events” and if the reliability of the evidence might be affected by “mental illness or infirmity”.</w:t>
      </w:r>
      <w:r w:rsidRPr="007C4B78">
        <w:rPr>
          <w:rStyle w:val="FootnoteReference"/>
          <w:rFonts w:asciiTheme="majorHAnsi" w:eastAsia="Calibri" w:hAnsiTheme="majorHAnsi" w:cs="Helvetica"/>
        </w:rPr>
        <w:footnoteReference w:id="214"/>
      </w:r>
    </w:p>
    <w:p w14:paraId="3181A04B" w14:textId="77777777" w:rsidR="00D12FE6" w:rsidRPr="007C4B78" w:rsidRDefault="00ED476B" w:rsidP="004D12C3">
      <w:pPr>
        <w:pStyle w:val="Heading3"/>
        <w:jc w:val="both"/>
      </w:pPr>
      <w:bookmarkStart w:id="39" w:name="_Toc417303165"/>
      <w:r w:rsidRPr="007C4B78">
        <w:t>Promising</w:t>
      </w:r>
      <w:r w:rsidR="00D12FE6" w:rsidRPr="007C4B78">
        <w:t xml:space="preserve"> Practices</w:t>
      </w:r>
      <w:bookmarkEnd w:id="39"/>
    </w:p>
    <w:p w14:paraId="54EF1C43" w14:textId="77777777" w:rsidR="00D12FE6" w:rsidRPr="007C4B78" w:rsidRDefault="00D12FE6" w:rsidP="004D12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Calibri" w:hAnsiTheme="majorHAnsi"/>
        </w:rPr>
      </w:pPr>
      <w:r w:rsidRPr="007C4B78">
        <w:rPr>
          <w:rFonts w:asciiTheme="majorHAnsi" w:eastAsia="Calibri" w:hAnsiTheme="majorHAnsi"/>
        </w:rPr>
        <w:t>The Garda</w:t>
      </w:r>
      <w:r w:rsidR="0018402A" w:rsidRPr="007C4B78">
        <w:rPr>
          <w:rFonts w:asciiTheme="majorHAnsi" w:eastAsia="Calibri" w:hAnsiTheme="majorHAnsi"/>
        </w:rPr>
        <w:t>í</w:t>
      </w:r>
      <w:r w:rsidRPr="007C4B78">
        <w:rPr>
          <w:rFonts w:asciiTheme="majorHAnsi" w:eastAsia="Calibri" w:hAnsiTheme="majorHAnsi"/>
        </w:rPr>
        <w:t xml:space="preserve"> Youth and Children </w:t>
      </w:r>
      <w:r w:rsidR="0018402A" w:rsidRPr="007C4B78">
        <w:rPr>
          <w:rFonts w:asciiTheme="majorHAnsi" w:eastAsia="Calibri" w:hAnsiTheme="majorHAnsi"/>
        </w:rPr>
        <w:t>S</w:t>
      </w:r>
      <w:r w:rsidRPr="007C4B78">
        <w:rPr>
          <w:rFonts w:asciiTheme="majorHAnsi" w:eastAsia="Calibri" w:hAnsiTheme="majorHAnsi"/>
        </w:rPr>
        <w:t>trategy for 2009-2011 included</w:t>
      </w:r>
      <w:r w:rsidR="0018402A" w:rsidRPr="007C4B78">
        <w:rPr>
          <w:rFonts w:asciiTheme="majorHAnsi" w:eastAsia="Calibri" w:hAnsiTheme="majorHAnsi"/>
        </w:rPr>
        <w:t xml:space="preserve"> a goal of</w:t>
      </w:r>
      <w:r w:rsidRPr="007C4B78">
        <w:rPr>
          <w:rFonts w:asciiTheme="majorHAnsi" w:eastAsia="Calibri" w:hAnsiTheme="majorHAnsi"/>
        </w:rPr>
        <w:t xml:space="preserve"> training 68 police officers in recording and interviewing crime victims under 14.</w:t>
      </w:r>
      <w:r w:rsidRPr="007C4B78">
        <w:rPr>
          <w:rStyle w:val="FootnoteReference"/>
          <w:rFonts w:asciiTheme="majorHAnsi" w:eastAsia="Calibri" w:hAnsiTheme="majorHAnsi"/>
        </w:rPr>
        <w:footnoteReference w:id="215"/>
      </w:r>
      <w:r w:rsidRPr="007C4B78">
        <w:rPr>
          <w:rFonts w:asciiTheme="majorHAnsi" w:eastAsia="Calibri" w:hAnsiTheme="majorHAnsi"/>
        </w:rPr>
        <w:t xml:space="preserve">  The Youth Strategy for 2012-2014, however, has no mention of the use of or training for video recording interviews nor is there any mention of disability.</w:t>
      </w:r>
      <w:r w:rsidRPr="007C4B78">
        <w:rPr>
          <w:rStyle w:val="FootnoteReference"/>
          <w:rFonts w:asciiTheme="majorHAnsi" w:eastAsia="Calibri" w:hAnsiTheme="majorHAnsi"/>
        </w:rPr>
        <w:footnoteReference w:id="216"/>
      </w:r>
      <w:r w:rsidRPr="007C4B78">
        <w:rPr>
          <w:rFonts w:asciiTheme="majorHAnsi" w:eastAsia="Calibri" w:hAnsiTheme="majorHAnsi"/>
        </w:rPr>
        <w:t xml:space="preserve"> There is some evidence to suggest, however, that Garda</w:t>
      </w:r>
      <w:r w:rsidR="0018402A" w:rsidRPr="007C4B78">
        <w:rPr>
          <w:rFonts w:asciiTheme="majorHAnsi" w:eastAsia="Calibri" w:hAnsiTheme="majorHAnsi"/>
        </w:rPr>
        <w:t>í</w:t>
      </w:r>
      <w:r w:rsidRPr="007C4B78">
        <w:rPr>
          <w:rFonts w:asciiTheme="majorHAnsi" w:eastAsia="Calibri" w:hAnsiTheme="majorHAnsi"/>
        </w:rPr>
        <w:t xml:space="preserve"> who conduct the video recorded interviews are “more specifically trained than senior legal practitioners in the techniques of interviewing children and persons with an intellectual disability.”</w:t>
      </w:r>
      <w:r w:rsidRPr="007C4B78">
        <w:rPr>
          <w:rStyle w:val="FootnoteReference"/>
          <w:rFonts w:asciiTheme="majorHAnsi" w:eastAsia="Calibri" w:hAnsiTheme="majorHAnsi"/>
        </w:rPr>
        <w:footnoteReference w:id="217"/>
      </w:r>
      <w:r w:rsidR="0018402A" w:rsidRPr="007C4B78">
        <w:rPr>
          <w:rFonts w:asciiTheme="majorHAnsi" w:eastAsia="Calibri" w:hAnsiTheme="majorHAnsi"/>
        </w:rPr>
        <w:t xml:space="preserve"> However, t</w:t>
      </w:r>
      <w:r w:rsidRPr="007C4B78">
        <w:rPr>
          <w:rFonts w:asciiTheme="majorHAnsi" w:eastAsia="Calibri" w:hAnsiTheme="majorHAnsi"/>
        </w:rPr>
        <w:t>here</w:t>
      </w:r>
      <w:r w:rsidR="00F250CD" w:rsidRPr="007C4B78">
        <w:rPr>
          <w:rFonts w:asciiTheme="majorHAnsi" w:eastAsia="Calibri" w:hAnsiTheme="majorHAnsi"/>
        </w:rPr>
        <w:t xml:space="preserve"> is</w:t>
      </w:r>
      <w:r w:rsidRPr="007C4B78">
        <w:rPr>
          <w:rFonts w:asciiTheme="majorHAnsi" w:eastAsia="Calibri" w:hAnsiTheme="majorHAnsi"/>
        </w:rPr>
        <w:t xml:space="preserve"> very little information on how these procedures have worked in practice. This may in part</w:t>
      </w:r>
      <w:r w:rsidR="001253B4" w:rsidRPr="007C4B78">
        <w:rPr>
          <w:rFonts w:asciiTheme="majorHAnsi" w:eastAsia="Calibri" w:hAnsiTheme="majorHAnsi"/>
        </w:rPr>
        <w:t xml:space="preserve"> be</w:t>
      </w:r>
      <w:r w:rsidRPr="007C4B78">
        <w:rPr>
          <w:rFonts w:asciiTheme="majorHAnsi" w:eastAsia="Calibri" w:hAnsiTheme="majorHAnsi"/>
        </w:rPr>
        <w:t xml:space="preserve"> because the section of the law that allowed for videotaped interviews to be played at trial was only commenced in 2008, 15 years after the </w:t>
      </w:r>
      <w:r w:rsidR="0018402A" w:rsidRPr="007C4B78">
        <w:rPr>
          <w:rFonts w:asciiTheme="majorHAnsi" w:eastAsia="Calibri" w:hAnsiTheme="majorHAnsi"/>
        </w:rPr>
        <w:t>A</w:t>
      </w:r>
      <w:r w:rsidRPr="007C4B78">
        <w:rPr>
          <w:rFonts w:asciiTheme="majorHAnsi" w:eastAsia="Calibri" w:hAnsiTheme="majorHAnsi"/>
        </w:rPr>
        <w:t>ct itself was introduced.</w:t>
      </w:r>
      <w:r w:rsidRPr="007C4B78">
        <w:rPr>
          <w:rStyle w:val="FootnoteReference"/>
          <w:rFonts w:asciiTheme="majorHAnsi" w:eastAsia="Calibri" w:hAnsiTheme="majorHAnsi"/>
        </w:rPr>
        <w:footnoteReference w:id="218"/>
      </w:r>
      <w:r w:rsidR="002C4CA4" w:rsidRPr="007C4B78">
        <w:rPr>
          <w:rFonts w:asciiTheme="majorHAnsi" w:eastAsia="Calibri" w:hAnsiTheme="majorHAnsi"/>
        </w:rPr>
        <w:t>The</w:t>
      </w:r>
      <w:r w:rsidRPr="007C4B78">
        <w:rPr>
          <w:rFonts w:asciiTheme="majorHAnsi" w:eastAsia="Calibri" w:hAnsiTheme="majorHAnsi"/>
        </w:rPr>
        <w:t xml:space="preserve"> provision was</w:t>
      </w:r>
      <w:r w:rsidR="002C4CA4" w:rsidRPr="007C4B78">
        <w:rPr>
          <w:rFonts w:asciiTheme="majorHAnsi" w:eastAsia="Calibri" w:hAnsiTheme="majorHAnsi"/>
        </w:rPr>
        <w:t xml:space="preserve"> not</w:t>
      </w:r>
      <w:r w:rsidRPr="007C4B78">
        <w:rPr>
          <w:rFonts w:asciiTheme="majorHAnsi" w:eastAsia="Calibri" w:hAnsiTheme="majorHAnsi"/>
        </w:rPr>
        <w:t xml:space="preserve"> successfully used in criminal trials</w:t>
      </w:r>
      <w:r w:rsidR="002C4CA4" w:rsidRPr="007C4B78">
        <w:rPr>
          <w:rFonts w:asciiTheme="majorHAnsi" w:eastAsia="Calibri" w:hAnsiTheme="majorHAnsi"/>
        </w:rPr>
        <w:t xml:space="preserve"> until 2010;</w:t>
      </w:r>
      <w:r w:rsidRPr="007C4B78">
        <w:rPr>
          <w:rStyle w:val="FootnoteReference"/>
          <w:rFonts w:asciiTheme="majorHAnsi" w:eastAsia="Calibri" w:hAnsiTheme="majorHAnsi"/>
        </w:rPr>
        <w:footnoteReference w:id="219"/>
      </w:r>
      <w:r w:rsidR="002C4CA4" w:rsidRPr="007C4B78">
        <w:rPr>
          <w:rFonts w:asciiTheme="majorHAnsi" w:eastAsia="Calibri" w:hAnsiTheme="majorHAnsi"/>
        </w:rPr>
        <w:t>therefore, there is little evidence to date of how these provisions work in practice.</w:t>
      </w:r>
    </w:p>
    <w:p w14:paraId="741C06F6" w14:textId="77777777" w:rsidR="001149FA" w:rsidRPr="007C4B78" w:rsidRDefault="001149FA" w:rsidP="004D12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Calibri" w:hAnsiTheme="majorHAnsi" w:cs="Helvetica"/>
        </w:rPr>
      </w:pPr>
    </w:p>
    <w:p w14:paraId="7243F64A" w14:textId="77777777" w:rsidR="001149FA" w:rsidRPr="007C4B78" w:rsidRDefault="002C4CA4" w:rsidP="004D12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Calibri" w:hAnsiTheme="majorHAnsi" w:cs="Helvetica"/>
        </w:rPr>
      </w:pPr>
      <w:r w:rsidRPr="007C4B78">
        <w:rPr>
          <w:rFonts w:asciiTheme="majorHAnsi" w:eastAsia="Calibri" w:hAnsiTheme="majorHAnsi" w:cs="Helvetica"/>
        </w:rPr>
        <w:t>A</w:t>
      </w:r>
      <w:r w:rsidR="001149FA" w:rsidRPr="007C4B78">
        <w:rPr>
          <w:rFonts w:asciiTheme="majorHAnsi" w:eastAsia="Calibri" w:hAnsiTheme="majorHAnsi" w:cs="Helvetica"/>
        </w:rPr>
        <w:t xml:space="preserve"> voluntary </w:t>
      </w:r>
      <w:r w:rsidR="00E81547" w:rsidRPr="007C4B78">
        <w:rPr>
          <w:rFonts w:asciiTheme="majorHAnsi" w:eastAsia="Calibri" w:hAnsiTheme="majorHAnsi" w:cs="Helvetica"/>
        </w:rPr>
        <w:t xml:space="preserve">organisation </w:t>
      </w:r>
      <w:r w:rsidR="001149FA" w:rsidRPr="007C4B78">
        <w:rPr>
          <w:rFonts w:asciiTheme="majorHAnsi" w:eastAsia="Calibri" w:hAnsiTheme="majorHAnsi" w:cs="Helvetica"/>
        </w:rPr>
        <w:t xml:space="preserve">called </w:t>
      </w:r>
      <w:r w:rsidR="003D732D" w:rsidRPr="007C4B78">
        <w:rPr>
          <w:rFonts w:asciiTheme="majorHAnsi" w:eastAsia="Calibri" w:hAnsiTheme="majorHAnsi" w:cs="Helvetica"/>
          <w:i/>
        </w:rPr>
        <w:t>Victim Support at Court</w:t>
      </w:r>
      <w:r w:rsidR="00F076C2" w:rsidRPr="007C4B78">
        <w:rPr>
          <w:rFonts w:asciiTheme="majorHAnsi" w:eastAsia="Calibri" w:hAnsiTheme="majorHAnsi" w:cs="Helvetica"/>
          <w:i/>
        </w:rPr>
        <w:t xml:space="preserve"> </w:t>
      </w:r>
      <w:r w:rsidR="001149FA" w:rsidRPr="007C4B78">
        <w:rPr>
          <w:rFonts w:asciiTheme="majorHAnsi" w:eastAsia="Calibri" w:hAnsiTheme="majorHAnsi" w:cs="Helvetica"/>
        </w:rPr>
        <w:t xml:space="preserve">accompanies victims of </w:t>
      </w:r>
      <w:r w:rsidR="001149FA" w:rsidRPr="007C4B78">
        <w:rPr>
          <w:rFonts w:asciiTheme="majorHAnsi" w:eastAsia="Calibri" w:hAnsiTheme="majorHAnsi" w:cs="Helvetica"/>
        </w:rPr>
        <w:lastRenderedPageBreak/>
        <w:t>crimes and witnesses to court</w:t>
      </w:r>
      <w:r w:rsidR="00E81547" w:rsidRPr="007C4B78">
        <w:rPr>
          <w:rFonts w:asciiTheme="majorHAnsi" w:eastAsia="Calibri" w:hAnsiTheme="majorHAnsi" w:cs="Helvetica"/>
        </w:rPr>
        <w:t xml:space="preserve"> in Ireland</w:t>
      </w:r>
      <w:r w:rsidR="001149FA" w:rsidRPr="007C4B78">
        <w:rPr>
          <w:rFonts w:asciiTheme="majorHAnsi" w:eastAsia="Calibri" w:hAnsiTheme="majorHAnsi" w:cs="Helvetica"/>
        </w:rPr>
        <w:t xml:space="preserve"> but only in trials involving major criminal offences.</w:t>
      </w:r>
      <w:r w:rsidR="001149FA" w:rsidRPr="007C4B78">
        <w:rPr>
          <w:rStyle w:val="FootnoteReference"/>
          <w:rFonts w:asciiTheme="majorHAnsi" w:eastAsia="Calibri" w:hAnsiTheme="majorHAnsi" w:cs="Helvetica"/>
        </w:rPr>
        <w:footnoteReference w:id="220"/>
      </w:r>
      <w:r w:rsidR="001149FA" w:rsidRPr="007C4B78">
        <w:rPr>
          <w:rFonts w:asciiTheme="majorHAnsi" w:eastAsia="Calibri" w:hAnsiTheme="majorHAnsi" w:cs="Helvetica"/>
        </w:rPr>
        <w:t xml:space="preserve"> There are no</w:t>
      </w:r>
      <w:r w:rsidR="00D12FE6" w:rsidRPr="007C4B78">
        <w:rPr>
          <w:rFonts w:asciiTheme="majorHAnsi" w:eastAsia="Calibri" w:hAnsiTheme="majorHAnsi" w:cs="Helvetica"/>
        </w:rPr>
        <w:t xml:space="preserve"> specific</w:t>
      </w:r>
      <w:r w:rsidR="00641E77" w:rsidRPr="007C4B78">
        <w:rPr>
          <w:rFonts w:asciiTheme="majorHAnsi" w:eastAsia="Calibri" w:hAnsiTheme="majorHAnsi" w:cs="Helvetica"/>
        </w:rPr>
        <w:t xml:space="preserve"> victim</w:t>
      </w:r>
      <w:r w:rsidR="000E5482" w:rsidRPr="007C4B78">
        <w:rPr>
          <w:rFonts w:asciiTheme="majorHAnsi" w:eastAsia="Calibri" w:hAnsiTheme="majorHAnsi" w:cs="Helvetica"/>
        </w:rPr>
        <w:t>’</w:t>
      </w:r>
      <w:r w:rsidR="00641E77" w:rsidRPr="007C4B78">
        <w:rPr>
          <w:rFonts w:asciiTheme="majorHAnsi" w:eastAsia="Calibri" w:hAnsiTheme="majorHAnsi" w:cs="Helvetica"/>
        </w:rPr>
        <w:t xml:space="preserve">s rights </w:t>
      </w:r>
      <w:r w:rsidR="00464197" w:rsidRPr="007C4B78">
        <w:rPr>
          <w:rFonts w:asciiTheme="majorHAnsi" w:eastAsia="Calibri" w:hAnsiTheme="majorHAnsi" w:cs="Helvetica"/>
        </w:rPr>
        <w:t>or victim</w:t>
      </w:r>
      <w:r w:rsidR="001149FA" w:rsidRPr="007C4B78">
        <w:rPr>
          <w:rFonts w:asciiTheme="majorHAnsi" w:eastAsia="Calibri" w:hAnsiTheme="majorHAnsi" w:cs="Helvetica"/>
        </w:rPr>
        <w:t xml:space="preserve"> support</w:t>
      </w:r>
      <w:r w:rsidR="0094675C" w:rsidRPr="007C4B78">
        <w:rPr>
          <w:rFonts w:asciiTheme="majorHAnsi" w:eastAsia="Calibri" w:hAnsiTheme="majorHAnsi" w:cs="Helvetica"/>
        </w:rPr>
        <w:t xml:space="preserve"> </w:t>
      </w:r>
      <w:r w:rsidR="004C0066" w:rsidRPr="007C4B78">
        <w:rPr>
          <w:rFonts w:asciiTheme="majorHAnsi" w:eastAsia="Calibri" w:hAnsiTheme="majorHAnsi" w:cs="Helvetica"/>
          <w:lang w:val="en-US"/>
        </w:rPr>
        <w:t>organisations</w:t>
      </w:r>
      <w:r w:rsidR="001149FA" w:rsidRPr="007C4B78">
        <w:rPr>
          <w:rFonts w:asciiTheme="majorHAnsi" w:eastAsia="Calibri" w:hAnsiTheme="majorHAnsi" w:cs="Helvetica"/>
        </w:rPr>
        <w:t xml:space="preserve"> that specialise </w:t>
      </w:r>
      <w:r w:rsidR="00181E40" w:rsidRPr="007C4B78">
        <w:rPr>
          <w:rFonts w:asciiTheme="majorHAnsi" w:eastAsia="Calibri" w:hAnsiTheme="majorHAnsi" w:cs="Helvetica"/>
        </w:rPr>
        <w:t>in providing services to adults or children</w:t>
      </w:r>
      <w:r w:rsidR="001149FA" w:rsidRPr="007C4B78">
        <w:rPr>
          <w:rFonts w:asciiTheme="majorHAnsi" w:eastAsia="Calibri" w:hAnsiTheme="majorHAnsi" w:cs="Helvetica"/>
        </w:rPr>
        <w:t xml:space="preserve"> with disabilities or </w:t>
      </w:r>
      <w:r w:rsidR="00D12FE6" w:rsidRPr="007C4B78">
        <w:rPr>
          <w:rFonts w:asciiTheme="majorHAnsi" w:eastAsia="Calibri" w:hAnsiTheme="majorHAnsi" w:cs="Helvetica"/>
        </w:rPr>
        <w:t>note that they are trained</w:t>
      </w:r>
      <w:r w:rsidR="0094675C" w:rsidRPr="007C4B78">
        <w:rPr>
          <w:rFonts w:asciiTheme="majorHAnsi" w:eastAsia="Calibri" w:hAnsiTheme="majorHAnsi" w:cs="Helvetica"/>
        </w:rPr>
        <w:t xml:space="preserve"> </w:t>
      </w:r>
      <w:r w:rsidR="00181E40" w:rsidRPr="007C4B78">
        <w:rPr>
          <w:rFonts w:asciiTheme="majorHAnsi" w:eastAsia="Calibri" w:hAnsiTheme="majorHAnsi" w:cs="Helvetica"/>
        </w:rPr>
        <w:t>on providing services to adults or children</w:t>
      </w:r>
      <w:r w:rsidR="001149FA" w:rsidRPr="007C4B78">
        <w:rPr>
          <w:rFonts w:asciiTheme="majorHAnsi" w:eastAsia="Calibri" w:hAnsiTheme="majorHAnsi" w:cs="Helvetica"/>
        </w:rPr>
        <w:t xml:space="preserve"> with disabilities.</w:t>
      </w:r>
      <w:r w:rsidR="001149FA" w:rsidRPr="007C4B78">
        <w:rPr>
          <w:rStyle w:val="FootnoteReference"/>
          <w:rFonts w:asciiTheme="majorHAnsi" w:eastAsia="Calibri" w:hAnsiTheme="majorHAnsi" w:cs="Helvetica"/>
        </w:rPr>
        <w:footnoteReference w:id="221"/>
      </w:r>
    </w:p>
    <w:p w14:paraId="344C5684" w14:textId="77777777" w:rsidR="00181E40" w:rsidRPr="007C4B78" w:rsidRDefault="00181E40" w:rsidP="004D12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Calibri" w:hAnsiTheme="majorHAnsi" w:cs="Helvetica"/>
        </w:rPr>
      </w:pPr>
    </w:p>
    <w:p w14:paraId="6F9FD380" w14:textId="77777777" w:rsidR="00181E40" w:rsidRPr="007C4B78" w:rsidRDefault="005942D2" w:rsidP="004D12C3">
      <w:pPr>
        <w:jc w:val="both"/>
        <w:rPr>
          <w:rFonts w:asciiTheme="majorHAnsi" w:eastAsia="Calibri" w:hAnsiTheme="majorHAnsi"/>
        </w:rPr>
      </w:pPr>
      <w:r w:rsidRPr="007C4B78">
        <w:rPr>
          <w:rFonts w:asciiTheme="majorHAnsi" w:eastAsia="Calibri" w:hAnsiTheme="majorHAnsi"/>
        </w:rPr>
        <w:t>To educate children about crimes, including sexual offences,</w:t>
      </w:r>
      <w:r w:rsidR="00181E40" w:rsidRPr="007C4B78">
        <w:rPr>
          <w:rFonts w:asciiTheme="majorHAnsi" w:eastAsia="Calibri" w:hAnsiTheme="majorHAnsi"/>
        </w:rPr>
        <w:t xml:space="preserve"> the Department of Education and Skills created “Child Protection Procedures for Primary and Post-Primary Schools” which require the teaching of Social, Personal &amp; Health Education and the Stay Safe Programme to primary schools and the junior cycle of post primary school</w:t>
      </w:r>
      <w:r w:rsidR="00E81547" w:rsidRPr="007C4B78">
        <w:rPr>
          <w:rFonts w:asciiTheme="majorHAnsi" w:eastAsia="Calibri" w:hAnsiTheme="majorHAnsi"/>
        </w:rPr>
        <w:t>;</w:t>
      </w:r>
      <w:r w:rsidR="00181E40" w:rsidRPr="007C4B78">
        <w:rPr>
          <w:rFonts w:asciiTheme="majorHAnsi" w:eastAsia="Calibri" w:hAnsiTheme="majorHAnsi"/>
        </w:rPr>
        <w:t xml:space="preserve"> Relationship and Sexuality Education is required at the senior cycle.</w:t>
      </w:r>
      <w:r w:rsidR="00181E40" w:rsidRPr="007C4B78">
        <w:rPr>
          <w:rStyle w:val="FootnoteReference"/>
          <w:rFonts w:asciiTheme="majorHAnsi" w:eastAsia="Calibri" w:hAnsiTheme="majorHAnsi"/>
        </w:rPr>
        <w:footnoteReference w:id="222"/>
      </w:r>
      <w:r w:rsidR="00181E40" w:rsidRPr="007C4B78">
        <w:rPr>
          <w:rFonts w:asciiTheme="majorHAnsi" w:eastAsia="Calibri" w:hAnsiTheme="majorHAnsi"/>
        </w:rPr>
        <w:t xml:space="preserve">  The Stay Safe Program covers inappropriate touch, secrets, </w:t>
      </w:r>
      <w:proofErr w:type="gramStart"/>
      <w:r w:rsidR="00181E40" w:rsidRPr="007C4B78">
        <w:rPr>
          <w:rFonts w:asciiTheme="majorHAnsi" w:eastAsia="Calibri" w:hAnsiTheme="majorHAnsi"/>
        </w:rPr>
        <w:t>stranger</w:t>
      </w:r>
      <w:proofErr w:type="gramEnd"/>
      <w:r w:rsidR="00181E40" w:rsidRPr="007C4B78">
        <w:rPr>
          <w:rFonts w:asciiTheme="majorHAnsi" w:eastAsia="Calibri" w:hAnsiTheme="majorHAnsi"/>
        </w:rPr>
        <w:t xml:space="preserve"> danger and seeks to increase children’s self-protection skills.</w:t>
      </w:r>
      <w:r w:rsidR="00181E40" w:rsidRPr="007C4B78">
        <w:rPr>
          <w:rStyle w:val="FootnoteReference"/>
          <w:rFonts w:asciiTheme="majorHAnsi" w:eastAsia="Calibri" w:hAnsiTheme="majorHAnsi"/>
        </w:rPr>
        <w:footnoteReference w:id="223"/>
      </w:r>
      <w:r w:rsidR="00181E40" w:rsidRPr="007C4B78">
        <w:rPr>
          <w:rFonts w:asciiTheme="majorHAnsi" w:eastAsia="Calibri" w:hAnsiTheme="majorHAnsi"/>
        </w:rPr>
        <w:t xml:space="preserve"> The Social, Personal &amp; Health Education support service has resources and information on courses for teachers and parents and covers responsible decision making framework and development of skills for living in communities.</w:t>
      </w:r>
      <w:r w:rsidR="00181E40" w:rsidRPr="007C4B78">
        <w:rPr>
          <w:rStyle w:val="FootnoteReference"/>
          <w:rFonts w:asciiTheme="majorHAnsi" w:eastAsia="Calibri" w:hAnsiTheme="majorHAnsi"/>
        </w:rPr>
        <w:footnoteReference w:id="224"/>
      </w:r>
    </w:p>
    <w:p w14:paraId="6181D5A0" w14:textId="77777777" w:rsidR="00641E77" w:rsidRPr="007C4B78" w:rsidRDefault="00641E77" w:rsidP="004D12C3">
      <w:pPr>
        <w:jc w:val="both"/>
        <w:rPr>
          <w:rFonts w:asciiTheme="majorHAnsi" w:eastAsia="Calibri" w:hAnsiTheme="majorHAnsi"/>
        </w:rPr>
      </w:pPr>
    </w:p>
    <w:p w14:paraId="4CED4C57" w14:textId="77777777" w:rsidR="00ED476B" w:rsidRPr="007C4B78" w:rsidRDefault="00ED476B" w:rsidP="004D12C3">
      <w:pPr>
        <w:pStyle w:val="task"/>
        <w:ind w:left="0" w:firstLine="0"/>
        <w:jc w:val="both"/>
        <w:rPr>
          <w:rFonts w:asciiTheme="majorHAnsi" w:hAnsiTheme="majorHAnsi"/>
        </w:rPr>
      </w:pPr>
      <w:r w:rsidRPr="007C4B78">
        <w:rPr>
          <w:rFonts w:asciiTheme="majorHAnsi" w:hAnsiTheme="majorHAnsi"/>
        </w:rPr>
        <w:t xml:space="preserve">The Court Service </w:t>
      </w:r>
      <w:r w:rsidR="005942D2" w:rsidRPr="007C4B78">
        <w:rPr>
          <w:rFonts w:asciiTheme="majorHAnsi" w:hAnsiTheme="majorHAnsi"/>
        </w:rPr>
        <w:t xml:space="preserve">in Ireland also </w:t>
      </w:r>
      <w:r w:rsidRPr="007C4B78">
        <w:rPr>
          <w:rFonts w:asciiTheme="majorHAnsi" w:hAnsiTheme="majorHAnsi"/>
        </w:rPr>
        <w:t>has a disability liaison officer who is responsible for providing assistance and guidance to persons with disabilities in accessing the court</w:t>
      </w:r>
      <w:r w:rsidR="005942D2" w:rsidRPr="007C4B78">
        <w:rPr>
          <w:rFonts w:asciiTheme="majorHAnsi" w:hAnsiTheme="majorHAnsi"/>
        </w:rPr>
        <w:t xml:space="preserve"> – which applies to both the criminal and civil justice systems</w:t>
      </w:r>
      <w:r w:rsidRPr="007C4B78">
        <w:rPr>
          <w:rFonts w:asciiTheme="majorHAnsi" w:hAnsiTheme="majorHAnsi"/>
        </w:rPr>
        <w:t>.</w:t>
      </w:r>
      <w:r w:rsidRPr="007C4B78">
        <w:rPr>
          <w:rStyle w:val="FootnoteReference"/>
          <w:rFonts w:asciiTheme="majorHAnsi" w:hAnsiTheme="majorHAnsi"/>
        </w:rPr>
        <w:footnoteReference w:id="225"/>
      </w:r>
    </w:p>
    <w:p w14:paraId="4696910D" w14:textId="77777777" w:rsidR="00780B84" w:rsidRPr="007C4B78" w:rsidRDefault="00780B84" w:rsidP="004D12C3">
      <w:pPr>
        <w:pStyle w:val="Heading3"/>
        <w:jc w:val="both"/>
      </w:pPr>
      <w:bookmarkStart w:id="40" w:name="_Toc417303166"/>
      <w:r w:rsidRPr="007C4B78">
        <w:t>Barriers</w:t>
      </w:r>
      <w:bookmarkEnd w:id="40"/>
    </w:p>
    <w:p w14:paraId="19478BB2" w14:textId="77777777" w:rsidR="00780B84" w:rsidRPr="007C4B78" w:rsidRDefault="00780B84" w:rsidP="004D12C3">
      <w:pPr>
        <w:jc w:val="both"/>
        <w:rPr>
          <w:rFonts w:asciiTheme="majorHAnsi" w:eastAsia="Calibri" w:hAnsiTheme="majorHAnsi"/>
        </w:rPr>
      </w:pPr>
      <w:r w:rsidRPr="007C4B78">
        <w:rPr>
          <w:rFonts w:asciiTheme="majorHAnsi" w:eastAsia="Calibri" w:hAnsiTheme="majorHAnsi"/>
        </w:rPr>
        <w:t xml:space="preserve">There are no reports that specifically </w:t>
      </w:r>
      <w:r w:rsidR="003A5A65" w:rsidRPr="007C4B78">
        <w:rPr>
          <w:rFonts w:asciiTheme="majorHAnsi" w:eastAsia="Calibri" w:hAnsiTheme="majorHAnsi"/>
        </w:rPr>
        <w:t xml:space="preserve">assess </w:t>
      </w:r>
      <w:r w:rsidRPr="007C4B78">
        <w:rPr>
          <w:rFonts w:asciiTheme="majorHAnsi" w:eastAsia="Calibri" w:hAnsiTheme="majorHAnsi"/>
        </w:rPr>
        <w:t>the treatment of child witnesses and victims with cognitive disabilities in the criminal justice system</w:t>
      </w:r>
      <w:r w:rsidR="003A5A65" w:rsidRPr="007C4B78">
        <w:rPr>
          <w:rFonts w:asciiTheme="majorHAnsi" w:eastAsia="Calibri" w:hAnsiTheme="majorHAnsi"/>
        </w:rPr>
        <w:t xml:space="preserve"> in Ireland</w:t>
      </w:r>
      <w:r w:rsidRPr="007C4B78">
        <w:rPr>
          <w:rFonts w:asciiTheme="majorHAnsi" w:eastAsia="Calibri" w:hAnsiTheme="majorHAnsi"/>
        </w:rPr>
        <w:t xml:space="preserve">.  However, </w:t>
      </w:r>
      <w:r w:rsidR="003A5A65" w:rsidRPr="007C4B78">
        <w:rPr>
          <w:rFonts w:asciiTheme="majorHAnsi" w:eastAsia="Calibri" w:hAnsiTheme="majorHAnsi"/>
        </w:rPr>
        <w:t>some cases reported in the media</w:t>
      </w:r>
      <w:r w:rsidRPr="007C4B78">
        <w:rPr>
          <w:rFonts w:asciiTheme="majorHAnsi" w:eastAsia="Calibri" w:hAnsiTheme="majorHAnsi"/>
        </w:rPr>
        <w:t xml:space="preserve"> about the treatment of young adults with disabilities indicate</w:t>
      </w:r>
      <w:r w:rsidR="003A5A65" w:rsidRPr="007C4B78">
        <w:rPr>
          <w:rFonts w:asciiTheme="majorHAnsi" w:eastAsia="Calibri" w:hAnsiTheme="majorHAnsi"/>
        </w:rPr>
        <w:t xml:space="preserve"> the</w:t>
      </w:r>
      <w:r w:rsidRPr="007C4B78">
        <w:rPr>
          <w:rFonts w:asciiTheme="majorHAnsi" w:eastAsia="Calibri" w:hAnsiTheme="majorHAnsi"/>
        </w:rPr>
        <w:t xml:space="preserve"> likelihood that crimes against children with disabilities are rarely prosecuted.</w:t>
      </w:r>
      <w:r w:rsidRPr="007C4B78">
        <w:rPr>
          <w:rStyle w:val="FootnoteReference"/>
          <w:rFonts w:asciiTheme="majorHAnsi" w:eastAsia="Calibri" w:hAnsiTheme="majorHAnsi"/>
        </w:rPr>
        <w:footnoteReference w:id="226"/>
      </w:r>
    </w:p>
    <w:p w14:paraId="68C6FBAF" w14:textId="77777777" w:rsidR="00780B84" w:rsidRPr="007C4B78" w:rsidRDefault="00780B84" w:rsidP="004D12C3">
      <w:pPr>
        <w:jc w:val="both"/>
        <w:rPr>
          <w:rFonts w:asciiTheme="majorHAnsi" w:eastAsia="Calibri" w:hAnsiTheme="majorHAnsi"/>
        </w:rPr>
      </w:pPr>
    </w:p>
    <w:p w14:paraId="34B2687A" w14:textId="77777777" w:rsidR="00780B84" w:rsidRPr="007C4B78" w:rsidRDefault="00780B84" w:rsidP="004D12C3">
      <w:pPr>
        <w:jc w:val="both"/>
        <w:rPr>
          <w:rFonts w:asciiTheme="majorHAnsi" w:eastAsia="Calibri" w:hAnsiTheme="majorHAnsi"/>
        </w:rPr>
      </w:pPr>
      <w:r w:rsidRPr="007C4B78">
        <w:rPr>
          <w:rFonts w:asciiTheme="majorHAnsi" w:eastAsia="Calibri" w:hAnsiTheme="majorHAnsi"/>
        </w:rPr>
        <w:t>One parent interviewed</w:t>
      </w:r>
      <w:r w:rsidR="003A5A65" w:rsidRPr="007C4B78">
        <w:rPr>
          <w:rFonts w:asciiTheme="majorHAnsi" w:eastAsia="Calibri" w:hAnsiTheme="majorHAnsi"/>
        </w:rPr>
        <w:t xml:space="preserve"> for this project</w:t>
      </w:r>
      <w:r w:rsidRPr="007C4B78">
        <w:rPr>
          <w:rFonts w:asciiTheme="majorHAnsi" w:eastAsia="Calibri" w:hAnsiTheme="majorHAnsi"/>
        </w:rPr>
        <w:t xml:space="preserve"> said her 19 year old </w:t>
      </w:r>
      <w:r w:rsidR="003A5A65" w:rsidRPr="007C4B78">
        <w:rPr>
          <w:rFonts w:asciiTheme="majorHAnsi" w:eastAsia="Calibri" w:hAnsiTheme="majorHAnsi"/>
        </w:rPr>
        <w:t>son</w:t>
      </w:r>
      <w:r w:rsidRPr="007C4B78">
        <w:rPr>
          <w:rFonts w:asciiTheme="majorHAnsi" w:eastAsia="Calibri" w:hAnsiTheme="majorHAnsi"/>
        </w:rPr>
        <w:t xml:space="preserve"> with an intellectual disability had two incidents of violence perpetrated against him</w:t>
      </w:r>
      <w:r w:rsidR="00A35B4C" w:rsidRPr="007C4B78">
        <w:rPr>
          <w:rFonts w:asciiTheme="majorHAnsi" w:eastAsia="Calibri" w:hAnsiTheme="majorHAnsi"/>
        </w:rPr>
        <w:t xml:space="preserve"> when he was under 18</w:t>
      </w:r>
      <w:r w:rsidRPr="007C4B78">
        <w:rPr>
          <w:rFonts w:asciiTheme="majorHAnsi" w:eastAsia="Calibri" w:hAnsiTheme="majorHAnsi"/>
        </w:rPr>
        <w:t xml:space="preserve"> and that when the Garda came to interview the </w:t>
      </w:r>
      <w:r w:rsidR="00464197" w:rsidRPr="007C4B78">
        <w:rPr>
          <w:rFonts w:asciiTheme="majorHAnsi" w:eastAsia="Calibri" w:hAnsiTheme="majorHAnsi"/>
        </w:rPr>
        <w:t>child, 7</w:t>
      </w:r>
      <w:r w:rsidRPr="007C4B78">
        <w:rPr>
          <w:rFonts w:asciiTheme="majorHAnsi" w:eastAsia="Calibri" w:hAnsiTheme="majorHAnsi"/>
        </w:rPr>
        <w:t xml:space="preserve">-12 months later, the Garda just asked the young person repeatedly “is there </w:t>
      </w:r>
      <w:r w:rsidRPr="007C4B78">
        <w:rPr>
          <w:rFonts w:asciiTheme="majorHAnsi" w:eastAsia="Calibri" w:hAnsiTheme="majorHAnsi"/>
        </w:rPr>
        <w:lastRenderedPageBreak/>
        <w:t>anything you want to tell us?”</w:t>
      </w:r>
      <w:r w:rsidRPr="007C4B78">
        <w:rPr>
          <w:rStyle w:val="FootnoteReference"/>
          <w:rFonts w:asciiTheme="majorHAnsi" w:eastAsia="Calibri" w:hAnsiTheme="majorHAnsi"/>
        </w:rPr>
        <w:footnoteReference w:id="227"/>
      </w:r>
      <w:r w:rsidRPr="007C4B78">
        <w:rPr>
          <w:rFonts w:asciiTheme="majorHAnsi" w:eastAsia="Calibri" w:hAnsiTheme="majorHAnsi"/>
        </w:rPr>
        <w:t xml:space="preserve"> One of the incidents had occurred at a day service centre where the manager had taken the young person by the throat leaving marks.</w:t>
      </w:r>
      <w:r w:rsidRPr="007C4B78">
        <w:rPr>
          <w:rStyle w:val="FootnoteReference"/>
          <w:rFonts w:asciiTheme="majorHAnsi" w:eastAsia="Calibri" w:hAnsiTheme="majorHAnsi"/>
        </w:rPr>
        <w:footnoteReference w:id="228"/>
      </w:r>
      <w:r w:rsidRPr="007C4B78">
        <w:rPr>
          <w:rFonts w:asciiTheme="majorHAnsi" w:eastAsia="Calibri" w:hAnsiTheme="majorHAnsi"/>
        </w:rPr>
        <w:t xml:space="preserve"> The young person told their parents after a few days and was able to recount the incident to their advocate, solicitor, </w:t>
      </w:r>
      <w:proofErr w:type="gramStart"/>
      <w:r w:rsidRPr="007C4B78">
        <w:rPr>
          <w:rFonts w:asciiTheme="majorHAnsi" w:eastAsia="Calibri" w:hAnsiTheme="majorHAnsi"/>
        </w:rPr>
        <w:t>the</w:t>
      </w:r>
      <w:proofErr w:type="gramEnd"/>
      <w:r w:rsidRPr="007C4B78">
        <w:rPr>
          <w:rFonts w:asciiTheme="majorHAnsi" w:eastAsia="Calibri" w:hAnsiTheme="majorHAnsi"/>
        </w:rPr>
        <w:t xml:space="preserve"> doctor that examined him as well as a child protection worker that took a video of the young person’s testimony</w:t>
      </w:r>
      <w:r w:rsidR="00750AD2" w:rsidRPr="007C4B78">
        <w:rPr>
          <w:rFonts w:asciiTheme="majorHAnsi" w:eastAsia="Calibri" w:hAnsiTheme="majorHAnsi"/>
        </w:rPr>
        <w:t>. However,</w:t>
      </w:r>
      <w:r w:rsidRPr="007C4B78">
        <w:rPr>
          <w:rFonts w:asciiTheme="majorHAnsi" w:eastAsia="Calibri" w:hAnsiTheme="majorHAnsi"/>
        </w:rPr>
        <w:t xml:space="preserve"> because the young person did not recount the story</w:t>
      </w:r>
      <w:r w:rsidR="00750AD2" w:rsidRPr="007C4B78">
        <w:rPr>
          <w:rFonts w:asciiTheme="majorHAnsi" w:eastAsia="Calibri" w:hAnsiTheme="majorHAnsi"/>
        </w:rPr>
        <w:t xml:space="preserve"> directly</w:t>
      </w:r>
      <w:r w:rsidRPr="007C4B78">
        <w:rPr>
          <w:rFonts w:asciiTheme="majorHAnsi" w:eastAsia="Calibri" w:hAnsiTheme="majorHAnsi"/>
        </w:rPr>
        <w:t xml:space="preserve"> to the Garda</w:t>
      </w:r>
      <w:r w:rsidR="00A35B4C" w:rsidRPr="007C4B78">
        <w:rPr>
          <w:rFonts w:asciiTheme="majorHAnsi" w:eastAsia="Calibri" w:hAnsiTheme="majorHAnsi"/>
        </w:rPr>
        <w:t>í</w:t>
      </w:r>
      <w:r w:rsidR="00750AD2" w:rsidRPr="007C4B78">
        <w:rPr>
          <w:rFonts w:asciiTheme="majorHAnsi" w:eastAsia="Calibri" w:hAnsiTheme="majorHAnsi"/>
        </w:rPr>
        <w:t>,</w:t>
      </w:r>
      <w:r w:rsidRPr="007C4B78">
        <w:rPr>
          <w:rFonts w:asciiTheme="majorHAnsi" w:eastAsia="Calibri" w:hAnsiTheme="majorHAnsi"/>
        </w:rPr>
        <w:t xml:space="preserve"> the Garda</w:t>
      </w:r>
      <w:r w:rsidR="00A35B4C" w:rsidRPr="007C4B78">
        <w:rPr>
          <w:rFonts w:asciiTheme="majorHAnsi" w:eastAsia="Calibri" w:hAnsiTheme="majorHAnsi"/>
        </w:rPr>
        <w:t>í</w:t>
      </w:r>
      <w:r w:rsidRPr="007C4B78">
        <w:rPr>
          <w:rFonts w:asciiTheme="majorHAnsi" w:eastAsia="Calibri" w:hAnsiTheme="majorHAnsi"/>
        </w:rPr>
        <w:t xml:space="preserve"> refused to pursue the complaint.</w:t>
      </w:r>
      <w:r w:rsidRPr="007C4B78">
        <w:rPr>
          <w:rStyle w:val="FootnoteReference"/>
          <w:rFonts w:asciiTheme="majorHAnsi" w:eastAsia="Calibri" w:hAnsiTheme="majorHAnsi"/>
        </w:rPr>
        <w:footnoteReference w:id="229"/>
      </w:r>
      <w:r w:rsidRPr="007C4B78">
        <w:rPr>
          <w:rFonts w:asciiTheme="majorHAnsi" w:eastAsia="Calibri" w:hAnsiTheme="majorHAnsi"/>
        </w:rPr>
        <w:t xml:space="preserve"> The other assault occurred in </w:t>
      </w:r>
      <w:r w:rsidR="00750AD2" w:rsidRPr="007C4B78">
        <w:rPr>
          <w:rFonts w:asciiTheme="majorHAnsi" w:eastAsia="Calibri" w:hAnsiTheme="majorHAnsi"/>
        </w:rPr>
        <w:t xml:space="preserve">the presence </w:t>
      </w:r>
      <w:r w:rsidRPr="007C4B78">
        <w:rPr>
          <w:rFonts w:asciiTheme="majorHAnsi" w:eastAsia="Calibri" w:hAnsiTheme="majorHAnsi"/>
        </w:rPr>
        <w:t>of the young person’s sibling and even with the corroboration of the sibling the Garda would not investigate and just issued an adult caution to the person who committed the assault.</w:t>
      </w:r>
      <w:r w:rsidRPr="007C4B78">
        <w:rPr>
          <w:rStyle w:val="FootnoteReference"/>
          <w:rFonts w:asciiTheme="majorHAnsi" w:eastAsia="Calibri" w:hAnsiTheme="majorHAnsi"/>
        </w:rPr>
        <w:footnoteReference w:id="230"/>
      </w:r>
    </w:p>
    <w:p w14:paraId="3B5EEC7C" w14:textId="77777777" w:rsidR="00780B84" w:rsidRPr="007C4B78" w:rsidRDefault="00780B84" w:rsidP="004D12C3">
      <w:pPr>
        <w:pStyle w:val="ListParagraph"/>
        <w:jc w:val="both"/>
        <w:rPr>
          <w:rFonts w:asciiTheme="majorHAnsi" w:eastAsia="Calibri" w:hAnsiTheme="majorHAnsi"/>
          <w:i/>
          <w:u w:val="single"/>
        </w:rPr>
      </w:pPr>
    </w:p>
    <w:p w14:paraId="43A3148F" w14:textId="77777777" w:rsidR="00780B84" w:rsidRPr="007C4B78" w:rsidRDefault="00780B84" w:rsidP="004D12C3">
      <w:pPr>
        <w:jc w:val="both"/>
        <w:rPr>
          <w:rFonts w:asciiTheme="majorHAnsi" w:eastAsia="Calibri" w:hAnsiTheme="majorHAnsi"/>
        </w:rPr>
      </w:pPr>
      <w:r w:rsidRPr="007C4B78">
        <w:rPr>
          <w:rFonts w:asciiTheme="majorHAnsi" w:eastAsia="Calibri" w:hAnsiTheme="majorHAnsi"/>
        </w:rPr>
        <w:t>It is important to note that in order to identify a suspect the witness or victim will often have to be in the same room as the alleged offender</w:t>
      </w:r>
      <w:r w:rsidR="0035538F" w:rsidRPr="007C4B78">
        <w:rPr>
          <w:rFonts w:asciiTheme="majorHAnsi" w:eastAsia="Calibri" w:hAnsiTheme="majorHAnsi"/>
        </w:rPr>
        <w:t>.</w:t>
      </w:r>
      <w:r w:rsidRPr="007C4B78">
        <w:rPr>
          <w:rStyle w:val="FootnoteReference"/>
          <w:rFonts w:asciiTheme="majorHAnsi" w:eastAsia="Calibri" w:hAnsiTheme="majorHAnsi"/>
        </w:rPr>
        <w:footnoteReference w:id="231"/>
      </w:r>
      <w:r w:rsidR="0035538F" w:rsidRPr="007C4B78">
        <w:rPr>
          <w:rFonts w:asciiTheme="majorHAnsi" w:eastAsia="Calibri" w:hAnsiTheme="majorHAnsi"/>
        </w:rPr>
        <w:t xml:space="preserve"> This can be a difficult process for all victims and witness but children with cognitive disabilities face specific barriers to accessing justice in this regard.</w:t>
      </w:r>
    </w:p>
    <w:p w14:paraId="62587EAD" w14:textId="77777777" w:rsidR="00780B84" w:rsidRPr="007C4B78" w:rsidRDefault="00780B84" w:rsidP="004D12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Calibri" w:hAnsiTheme="majorHAnsi"/>
        </w:rPr>
      </w:pPr>
    </w:p>
    <w:p w14:paraId="78008CAF" w14:textId="77777777" w:rsidR="009E553D" w:rsidRPr="007C4B78" w:rsidRDefault="00CA2834" w:rsidP="004D12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Calibri" w:hAnsiTheme="majorHAnsi"/>
        </w:rPr>
      </w:pPr>
      <w:r w:rsidRPr="007C4B78">
        <w:rPr>
          <w:rFonts w:asciiTheme="majorHAnsi" w:eastAsia="Calibri" w:hAnsiTheme="majorHAnsi"/>
        </w:rPr>
        <w:t xml:space="preserve">Ni Raifeartaigh’s work shows that in sexual offence cases, a representative of </w:t>
      </w:r>
      <w:r w:rsidR="00780B84" w:rsidRPr="007C4B78">
        <w:rPr>
          <w:rFonts w:asciiTheme="majorHAnsi" w:eastAsia="Calibri" w:hAnsiTheme="majorHAnsi"/>
        </w:rPr>
        <w:t xml:space="preserve">the DPP </w:t>
      </w:r>
      <w:r w:rsidR="00BA04D7" w:rsidRPr="007C4B78">
        <w:rPr>
          <w:rFonts w:asciiTheme="majorHAnsi" w:eastAsia="Calibri" w:hAnsiTheme="majorHAnsi"/>
        </w:rPr>
        <w:t xml:space="preserve">has </w:t>
      </w:r>
      <w:r w:rsidR="00780B84" w:rsidRPr="007C4B78">
        <w:rPr>
          <w:rFonts w:asciiTheme="majorHAnsi" w:eastAsia="Calibri" w:hAnsiTheme="majorHAnsi"/>
        </w:rPr>
        <w:t>expressed concerns that videos taken</w:t>
      </w:r>
      <w:r w:rsidRPr="007C4B78">
        <w:rPr>
          <w:rFonts w:asciiTheme="majorHAnsi" w:eastAsia="Calibri" w:hAnsiTheme="majorHAnsi"/>
        </w:rPr>
        <w:t xml:space="preserve"> of vulnerable witnesses or victims</w:t>
      </w:r>
      <w:r w:rsidR="00780B84" w:rsidRPr="007C4B78">
        <w:rPr>
          <w:rFonts w:asciiTheme="majorHAnsi" w:eastAsia="Calibri" w:hAnsiTheme="majorHAnsi"/>
        </w:rPr>
        <w:t xml:space="preserve"> would end up</w:t>
      </w:r>
      <w:r w:rsidRPr="007C4B78">
        <w:rPr>
          <w:rFonts w:asciiTheme="majorHAnsi" w:eastAsia="Calibri" w:hAnsiTheme="majorHAnsi"/>
        </w:rPr>
        <w:t xml:space="preserve"> being</w:t>
      </w:r>
      <w:r w:rsidR="00780B84" w:rsidRPr="007C4B78">
        <w:rPr>
          <w:rFonts w:asciiTheme="majorHAnsi" w:eastAsia="Calibri" w:hAnsiTheme="majorHAnsi"/>
        </w:rPr>
        <w:t xml:space="preserve"> excluded at trial unless there had been extensive training of those involved with the questioning.</w:t>
      </w:r>
      <w:r w:rsidR="00780B84" w:rsidRPr="007C4B78">
        <w:rPr>
          <w:rStyle w:val="FootnoteReference"/>
          <w:rFonts w:asciiTheme="majorHAnsi" w:eastAsia="Calibri" w:hAnsiTheme="majorHAnsi"/>
        </w:rPr>
        <w:footnoteReference w:id="232"/>
      </w:r>
      <w:r w:rsidR="00BA04D7" w:rsidRPr="007C4B78">
        <w:rPr>
          <w:rFonts w:asciiTheme="majorHAnsi" w:eastAsia="Calibri" w:hAnsiTheme="majorHAnsi"/>
        </w:rPr>
        <w:t>She also found that d</w:t>
      </w:r>
      <w:r w:rsidR="00780B84" w:rsidRPr="007C4B78">
        <w:rPr>
          <w:rFonts w:asciiTheme="majorHAnsi" w:eastAsia="Calibri" w:hAnsiTheme="majorHAnsi"/>
        </w:rPr>
        <w:t>etailed background information about the child such as any communication or psychological difficulties are not always noted in the case file given to the DPP</w:t>
      </w:r>
      <w:r w:rsidR="00BA04D7" w:rsidRPr="007C4B78">
        <w:rPr>
          <w:rFonts w:asciiTheme="majorHAnsi" w:eastAsia="Calibri" w:hAnsiTheme="majorHAnsi"/>
        </w:rPr>
        <w:t xml:space="preserve"> in criminal cases</w:t>
      </w:r>
      <w:r w:rsidR="00780B84" w:rsidRPr="007C4B78">
        <w:rPr>
          <w:rFonts w:asciiTheme="majorHAnsi" w:eastAsia="Calibri" w:hAnsiTheme="majorHAnsi"/>
        </w:rPr>
        <w:t xml:space="preserve"> which can ultimately undermine the DPP’s case at trial.</w:t>
      </w:r>
      <w:r w:rsidR="00780B84" w:rsidRPr="007C4B78">
        <w:rPr>
          <w:rStyle w:val="FootnoteReference"/>
          <w:rFonts w:asciiTheme="majorHAnsi" w:eastAsia="Calibri" w:hAnsiTheme="majorHAnsi"/>
        </w:rPr>
        <w:footnoteReference w:id="233"/>
      </w:r>
    </w:p>
    <w:p w14:paraId="48220D9C" w14:textId="77777777" w:rsidR="007956CA" w:rsidRPr="007C4B78" w:rsidRDefault="007956CA" w:rsidP="004D12C3">
      <w:pPr>
        <w:jc w:val="both"/>
        <w:rPr>
          <w:rFonts w:asciiTheme="majorHAnsi" w:eastAsia="Calibri" w:hAnsiTheme="majorHAnsi"/>
        </w:rPr>
      </w:pPr>
    </w:p>
    <w:p w14:paraId="5D70F336" w14:textId="77777777" w:rsidR="007956CA" w:rsidRPr="007C4B78" w:rsidRDefault="007956CA" w:rsidP="004D12C3">
      <w:pPr>
        <w:jc w:val="both"/>
        <w:rPr>
          <w:rFonts w:asciiTheme="majorHAnsi" w:eastAsia="Calibri" w:hAnsiTheme="majorHAnsi"/>
        </w:rPr>
      </w:pPr>
      <w:r w:rsidRPr="007C4B78">
        <w:rPr>
          <w:rFonts w:asciiTheme="majorHAnsi" w:eastAsia="Calibri" w:hAnsiTheme="majorHAnsi"/>
        </w:rPr>
        <w:t>Another potential barrier</w:t>
      </w:r>
      <w:r w:rsidR="00BA04D7" w:rsidRPr="007C4B78">
        <w:rPr>
          <w:rFonts w:asciiTheme="majorHAnsi" w:eastAsia="Calibri" w:hAnsiTheme="majorHAnsi"/>
        </w:rPr>
        <w:t xml:space="preserve"> to accessing justice for children with disabilities in cri</w:t>
      </w:r>
      <w:r w:rsidR="002807D9" w:rsidRPr="007C4B78">
        <w:rPr>
          <w:rFonts w:asciiTheme="majorHAnsi" w:eastAsia="Calibri" w:hAnsiTheme="majorHAnsi"/>
        </w:rPr>
        <w:t>m</w:t>
      </w:r>
      <w:r w:rsidR="00BA04D7" w:rsidRPr="007C4B78">
        <w:rPr>
          <w:rFonts w:asciiTheme="majorHAnsi" w:eastAsia="Calibri" w:hAnsiTheme="majorHAnsi"/>
        </w:rPr>
        <w:t>inal cases</w:t>
      </w:r>
      <w:r w:rsidRPr="007C4B78">
        <w:rPr>
          <w:rFonts w:asciiTheme="majorHAnsi" w:eastAsia="Calibri" w:hAnsiTheme="majorHAnsi"/>
        </w:rPr>
        <w:t xml:space="preserve"> is</w:t>
      </w:r>
      <w:r w:rsidR="00BA04D7" w:rsidRPr="007C4B78">
        <w:rPr>
          <w:rFonts w:asciiTheme="majorHAnsi" w:eastAsia="Calibri" w:hAnsiTheme="majorHAnsi"/>
        </w:rPr>
        <w:t xml:space="preserve"> posed by</w:t>
      </w:r>
      <w:r w:rsidRPr="007C4B78">
        <w:rPr>
          <w:rFonts w:asciiTheme="majorHAnsi" w:eastAsia="Calibri" w:hAnsiTheme="majorHAnsi"/>
        </w:rPr>
        <w:t xml:space="preserve"> a recent court case that disallowed the use of video link for a victim with “a mental impairment” because it would violate the defendant’s right to a fair trial.</w:t>
      </w:r>
      <w:r w:rsidRPr="007C4B78">
        <w:rPr>
          <w:rStyle w:val="FootnoteReference"/>
          <w:rFonts w:asciiTheme="majorHAnsi" w:eastAsia="Calibri" w:hAnsiTheme="majorHAnsi"/>
        </w:rPr>
        <w:footnoteReference w:id="234"/>
      </w:r>
      <w:r w:rsidRPr="007C4B78">
        <w:rPr>
          <w:rFonts w:asciiTheme="majorHAnsi" w:eastAsia="Calibri" w:hAnsiTheme="majorHAnsi"/>
        </w:rPr>
        <w:t xml:space="preserve"> The judge reasoned that since the defendant was being charged under the Criminal Justice Sexual Offences Act of 1993 which specifically creates an offence for sexual intercourse with a person with a “mental impairment” and the defendant’s defence was that he did not know the </w:t>
      </w:r>
      <w:r w:rsidRPr="007C4B78">
        <w:rPr>
          <w:rFonts w:asciiTheme="majorHAnsi" w:eastAsia="Calibri" w:hAnsiTheme="majorHAnsi"/>
        </w:rPr>
        <w:lastRenderedPageBreak/>
        <w:t>person had a “mental impairment” using video link would tend to disprove this defence to the jury.</w:t>
      </w:r>
      <w:r w:rsidR="00FF6D89" w:rsidRPr="007C4B78">
        <w:rPr>
          <w:rStyle w:val="FootnoteReference"/>
          <w:rFonts w:asciiTheme="majorHAnsi" w:eastAsia="Calibri" w:hAnsiTheme="majorHAnsi"/>
        </w:rPr>
        <w:footnoteReference w:id="235"/>
      </w:r>
    </w:p>
    <w:p w14:paraId="512F3AC7" w14:textId="77777777" w:rsidR="00780B84" w:rsidRPr="007C4B78" w:rsidRDefault="00780B84" w:rsidP="004D12C3">
      <w:pPr>
        <w:pStyle w:val="Heading3"/>
        <w:jc w:val="both"/>
      </w:pPr>
      <w:bookmarkStart w:id="41" w:name="_Toc417303167"/>
      <w:r w:rsidRPr="007C4B78">
        <w:t>What Access to Justice Should Look Like for Child Victims with Cognitive Disabilities in Ireland</w:t>
      </w:r>
      <w:r w:rsidR="000E5482" w:rsidRPr="007C4B78">
        <w:t>?</w:t>
      </w:r>
      <w:bookmarkEnd w:id="41"/>
    </w:p>
    <w:p w14:paraId="1BEECE2B" w14:textId="77777777" w:rsidR="00780B84" w:rsidRPr="007C4B78" w:rsidRDefault="00D57F3D" w:rsidP="004D12C3">
      <w:pPr>
        <w:jc w:val="both"/>
      </w:pPr>
      <w:r w:rsidRPr="007C4B78">
        <w:t xml:space="preserve">Child victims with cognitive disabilities in Ireland when reporting a crime should be referred in a timely manner to </w:t>
      </w:r>
      <w:r w:rsidR="00AF3841" w:rsidRPr="007C4B78">
        <w:t>a Garda</w:t>
      </w:r>
      <w:r w:rsidRPr="007C4B78">
        <w:t xml:space="preserve"> specialist interviewer</w:t>
      </w:r>
      <w:r w:rsidR="00AF3841" w:rsidRPr="007C4B78">
        <w:t xml:space="preserve"> who has received training on working with child victims with disabilities</w:t>
      </w:r>
      <w:r w:rsidRPr="007C4B78">
        <w:t xml:space="preserve">.  The options of </w:t>
      </w:r>
      <w:r w:rsidR="00AF3841" w:rsidRPr="007C4B78">
        <w:t xml:space="preserve">providing testimony by </w:t>
      </w:r>
      <w:r w:rsidRPr="007C4B78">
        <w:t>video-link and</w:t>
      </w:r>
      <w:r w:rsidR="00AF3841" w:rsidRPr="007C4B78">
        <w:t xml:space="preserve"> the support of</w:t>
      </w:r>
      <w:r w:rsidRPr="007C4B78">
        <w:t xml:space="preserve"> intermediaries</w:t>
      </w:r>
      <w:r w:rsidR="00D9048D" w:rsidRPr="007C4B78">
        <w:rPr>
          <w:rStyle w:val="FootnoteReference"/>
        </w:rPr>
        <w:footnoteReference w:id="236"/>
      </w:r>
      <w:r w:rsidR="001253B4" w:rsidRPr="007C4B78">
        <w:t xml:space="preserve"> (a person who can mediate or </w:t>
      </w:r>
      <w:r w:rsidR="00D9048D" w:rsidRPr="007C4B78">
        <w:t xml:space="preserve">translate the question from the lawyer to the child and </w:t>
      </w:r>
      <w:r w:rsidR="00B24E7C" w:rsidRPr="007C4B78">
        <w:t>vice versa</w:t>
      </w:r>
      <w:r w:rsidR="00D9048D" w:rsidRPr="007C4B78">
        <w:t xml:space="preserve">) </w:t>
      </w:r>
      <w:r w:rsidR="00AF3841" w:rsidRPr="007C4B78">
        <w:t>for children providing testimony</w:t>
      </w:r>
      <w:r w:rsidRPr="007C4B78">
        <w:t xml:space="preserve"> should widely available and used. Children with cognitive disabilities should have access to victim support services that have staff that are trained on disability issues. </w:t>
      </w:r>
    </w:p>
    <w:p w14:paraId="33681459" w14:textId="77777777" w:rsidR="00780B84" w:rsidRPr="007C4B78" w:rsidRDefault="00780B84" w:rsidP="004D12C3">
      <w:pPr>
        <w:pStyle w:val="task"/>
        <w:ind w:left="0" w:firstLine="0"/>
        <w:jc w:val="both"/>
        <w:rPr>
          <w:rFonts w:asciiTheme="majorHAnsi" w:hAnsiTheme="majorHAnsi"/>
        </w:rPr>
      </w:pPr>
    </w:p>
    <w:p w14:paraId="3AE1742C" w14:textId="77777777" w:rsidR="00D73861" w:rsidRPr="007C4B78" w:rsidRDefault="00D73861" w:rsidP="004D12C3">
      <w:pPr>
        <w:pStyle w:val="Heading2"/>
        <w:jc w:val="both"/>
        <w:rPr>
          <w:rFonts w:asciiTheme="majorHAnsi" w:hAnsiTheme="majorHAnsi"/>
        </w:rPr>
      </w:pPr>
      <w:bookmarkStart w:id="42" w:name="_Toc417303168"/>
      <w:r w:rsidRPr="007C4B78">
        <w:rPr>
          <w:rFonts w:asciiTheme="majorHAnsi" w:hAnsiTheme="majorHAnsi"/>
        </w:rPr>
        <w:t>Offender</w:t>
      </w:r>
      <w:r w:rsidR="00AF3841" w:rsidRPr="007C4B78">
        <w:rPr>
          <w:rFonts w:asciiTheme="majorHAnsi" w:hAnsiTheme="majorHAnsi"/>
        </w:rPr>
        <w:t>s with Cognitive Disabilities in the Criminal Justice System</w:t>
      </w:r>
      <w:bookmarkEnd w:id="42"/>
    </w:p>
    <w:p w14:paraId="76328DA7" w14:textId="77777777" w:rsidR="00ED476B" w:rsidRPr="007C4B78" w:rsidRDefault="00ED476B" w:rsidP="004D12C3">
      <w:pPr>
        <w:pStyle w:val="Heading3"/>
        <w:jc w:val="both"/>
      </w:pPr>
      <w:bookmarkStart w:id="43" w:name="_Toc417303169"/>
      <w:r w:rsidRPr="007C4B78">
        <w:t>Historical Background</w:t>
      </w:r>
      <w:bookmarkEnd w:id="43"/>
    </w:p>
    <w:p w14:paraId="0C713F6D" w14:textId="77777777" w:rsidR="00ED476B" w:rsidRPr="007C4B78" w:rsidRDefault="006C32AF" w:rsidP="004D12C3">
      <w:pPr>
        <w:jc w:val="both"/>
        <w:rPr>
          <w:rFonts w:asciiTheme="majorHAnsi" w:hAnsiTheme="majorHAnsi"/>
        </w:rPr>
      </w:pPr>
      <w:r w:rsidRPr="007C4B78">
        <w:rPr>
          <w:rFonts w:asciiTheme="majorHAnsi" w:hAnsiTheme="majorHAnsi"/>
        </w:rPr>
        <w:t xml:space="preserve">Prior to 2006 the criminal age of responsibility in Ireland for children was 7. Although the Children Act 2001 </w:t>
      </w:r>
      <w:proofErr w:type="gramStart"/>
      <w:r w:rsidRPr="007C4B78">
        <w:rPr>
          <w:rFonts w:asciiTheme="majorHAnsi" w:hAnsiTheme="majorHAnsi"/>
        </w:rPr>
        <w:t>raised</w:t>
      </w:r>
      <w:proofErr w:type="gramEnd"/>
      <w:r w:rsidRPr="007C4B78">
        <w:rPr>
          <w:rFonts w:asciiTheme="majorHAnsi" w:hAnsiTheme="majorHAnsi"/>
        </w:rPr>
        <w:t xml:space="preserve"> the general age</w:t>
      </w:r>
      <w:r w:rsidR="009963D6" w:rsidRPr="007C4B78">
        <w:rPr>
          <w:rFonts w:asciiTheme="majorHAnsi" w:hAnsiTheme="majorHAnsi"/>
        </w:rPr>
        <w:t xml:space="preserve"> of criminal responsibility</w:t>
      </w:r>
      <w:r w:rsidRPr="007C4B78">
        <w:rPr>
          <w:rFonts w:asciiTheme="majorHAnsi" w:hAnsiTheme="majorHAnsi"/>
        </w:rPr>
        <w:t xml:space="preserve"> to 12</w:t>
      </w:r>
      <w:r w:rsidR="009963D6" w:rsidRPr="007C4B78">
        <w:rPr>
          <w:rFonts w:asciiTheme="majorHAnsi" w:hAnsiTheme="majorHAnsi"/>
        </w:rPr>
        <w:t>,</w:t>
      </w:r>
      <w:r w:rsidRPr="007C4B78">
        <w:rPr>
          <w:rFonts w:asciiTheme="majorHAnsi" w:hAnsiTheme="majorHAnsi"/>
        </w:rPr>
        <w:t xml:space="preserve"> that section of the </w:t>
      </w:r>
      <w:r w:rsidR="009963D6" w:rsidRPr="007C4B78">
        <w:rPr>
          <w:rFonts w:asciiTheme="majorHAnsi" w:hAnsiTheme="majorHAnsi"/>
        </w:rPr>
        <w:t>A</w:t>
      </w:r>
      <w:r w:rsidRPr="007C4B78">
        <w:rPr>
          <w:rFonts w:asciiTheme="majorHAnsi" w:hAnsiTheme="majorHAnsi"/>
        </w:rPr>
        <w:t xml:space="preserve">ct was not commenced until 2006. </w:t>
      </w:r>
    </w:p>
    <w:p w14:paraId="6F9AE088" w14:textId="77777777" w:rsidR="006C32AF" w:rsidRPr="007C4B78" w:rsidRDefault="006C32AF" w:rsidP="004D12C3">
      <w:pPr>
        <w:jc w:val="both"/>
        <w:rPr>
          <w:rFonts w:asciiTheme="majorHAnsi" w:hAnsiTheme="majorHAnsi"/>
        </w:rPr>
      </w:pPr>
    </w:p>
    <w:p w14:paraId="23A4BA7E" w14:textId="77777777" w:rsidR="00D9048D" w:rsidRPr="007C4B78" w:rsidRDefault="006C32AF" w:rsidP="004D12C3">
      <w:pPr>
        <w:jc w:val="both"/>
        <w:rPr>
          <w:rFonts w:eastAsia="Calibri"/>
        </w:rPr>
      </w:pPr>
      <w:r w:rsidRPr="007C4B78">
        <w:rPr>
          <w:rFonts w:asciiTheme="majorHAnsi" w:hAnsiTheme="majorHAnsi"/>
        </w:rPr>
        <w:t>Historically</w:t>
      </w:r>
      <w:r w:rsidR="00B24E7C" w:rsidRPr="007C4B78">
        <w:rPr>
          <w:rFonts w:asciiTheme="majorHAnsi" w:hAnsiTheme="majorHAnsi"/>
        </w:rPr>
        <w:t>,</w:t>
      </w:r>
      <w:r w:rsidRPr="007C4B78">
        <w:rPr>
          <w:rFonts w:asciiTheme="majorHAnsi" w:hAnsiTheme="majorHAnsi"/>
        </w:rPr>
        <w:t xml:space="preserve"> teenagers were held together with young adults in St. Patrick’s Institution. </w:t>
      </w:r>
      <w:r w:rsidRPr="007C4B78">
        <w:rPr>
          <w:rFonts w:eastAsia="Calibri"/>
        </w:rPr>
        <w:t>According to the Children’s Rights Alliance, the last 16 year old in St</w:t>
      </w:r>
      <w:r w:rsidR="00B24E7C" w:rsidRPr="007C4B78">
        <w:rPr>
          <w:rFonts w:eastAsia="Calibri"/>
        </w:rPr>
        <w:t>.</w:t>
      </w:r>
      <w:r w:rsidRPr="007C4B78">
        <w:rPr>
          <w:rFonts w:eastAsia="Calibri"/>
        </w:rPr>
        <w:t xml:space="preserve"> Patrick’s was released in July 2012 and in August</w:t>
      </w:r>
      <w:r w:rsidR="009963D6" w:rsidRPr="007C4B78">
        <w:rPr>
          <w:rFonts w:eastAsia="Calibri"/>
        </w:rPr>
        <w:t xml:space="preserve"> 2014</w:t>
      </w:r>
      <w:r w:rsidRPr="007C4B78">
        <w:rPr>
          <w:rFonts w:eastAsia="Calibri"/>
        </w:rPr>
        <w:t>, there were 31 boys aged 17 years of age detained in St Patrick’s – an increase from 21 boys the previous year.</w:t>
      </w:r>
      <w:r w:rsidR="00B7355C" w:rsidRPr="007C4B78">
        <w:rPr>
          <w:rFonts w:eastAsia="Calibri"/>
        </w:rPr>
        <w:t xml:space="preserve"> </w:t>
      </w:r>
      <w:r w:rsidR="00D9048D" w:rsidRPr="007C4B78">
        <w:rPr>
          <w:rFonts w:asciiTheme="majorHAnsi" w:eastAsia="Calibri" w:hAnsiTheme="majorHAnsi"/>
        </w:rPr>
        <w:t>The Irish Penal Reform Trust published a report</w:t>
      </w:r>
      <w:r w:rsidR="00B24E7C" w:rsidRPr="007C4B78">
        <w:rPr>
          <w:rFonts w:asciiTheme="majorHAnsi" w:eastAsia="Calibri" w:hAnsiTheme="majorHAnsi"/>
        </w:rPr>
        <w:t xml:space="preserve"> in 2009</w:t>
      </w:r>
      <w:r w:rsidR="00D9048D" w:rsidRPr="007C4B78">
        <w:rPr>
          <w:rFonts w:asciiTheme="majorHAnsi" w:eastAsia="Calibri" w:hAnsiTheme="majorHAnsi"/>
        </w:rPr>
        <w:t xml:space="preserve"> on the detention of children in Ireland in comparison with international standards.</w:t>
      </w:r>
      <w:r w:rsidR="00D9048D" w:rsidRPr="007C4B78">
        <w:rPr>
          <w:rStyle w:val="FootnoteReference"/>
          <w:rFonts w:asciiTheme="majorHAnsi" w:eastAsia="Calibri" w:hAnsiTheme="majorHAnsi"/>
        </w:rPr>
        <w:footnoteReference w:id="237"/>
      </w:r>
      <w:r w:rsidR="00D9048D" w:rsidRPr="007C4B78">
        <w:rPr>
          <w:rFonts w:asciiTheme="majorHAnsi" w:eastAsia="Calibri" w:hAnsiTheme="majorHAnsi"/>
        </w:rPr>
        <w:t xml:space="preserve"> The recomm</w:t>
      </w:r>
      <w:r w:rsidR="00B24E7C" w:rsidRPr="007C4B78">
        <w:rPr>
          <w:rFonts w:asciiTheme="majorHAnsi" w:eastAsia="Calibri" w:hAnsiTheme="majorHAnsi"/>
        </w:rPr>
        <w:t>endations of the report include that</w:t>
      </w:r>
      <w:r w:rsidR="00D9048D" w:rsidRPr="007C4B78">
        <w:rPr>
          <w:rFonts w:asciiTheme="majorHAnsi" w:eastAsia="Calibri" w:hAnsiTheme="majorHAnsi"/>
        </w:rPr>
        <w:t xml:space="preserve"> health, behaviour and education assessments should be made upon admission,</w:t>
      </w:r>
      <w:r w:rsidR="00B24E7C" w:rsidRPr="007C4B78">
        <w:rPr>
          <w:rFonts w:asciiTheme="majorHAnsi" w:eastAsia="Calibri" w:hAnsiTheme="majorHAnsi"/>
        </w:rPr>
        <w:t xml:space="preserve"> and that the</w:t>
      </w:r>
      <w:r w:rsidR="00D9048D" w:rsidRPr="007C4B78">
        <w:rPr>
          <w:rFonts w:asciiTheme="majorHAnsi" w:eastAsia="Calibri" w:hAnsiTheme="majorHAnsi"/>
        </w:rPr>
        <w:t xml:space="preserve"> assignment of psychologists and where necessary psychiatrists</w:t>
      </w:r>
      <w:r w:rsidR="00B24E7C" w:rsidRPr="007C4B78">
        <w:rPr>
          <w:rFonts w:asciiTheme="majorHAnsi" w:eastAsia="Calibri" w:hAnsiTheme="majorHAnsi"/>
        </w:rPr>
        <w:t xml:space="preserve"> needs to occur immediately following these assessments</w:t>
      </w:r>
      <w:r w:rsidR="00D9048D" w:rsidRPr="007C4B78">
        <w:rPr>
          <w:rFonts w:asciiTheme="majorHAnsi" w:eastAsia="Calibri" w:hAnsiTheme="majorHAnsi"/>
        </w:rPr>
        <w:t>.</w:t>
      </w:r>
      <w:r w:rsidR="00D9048D" w:rsidRPr="007C4B78">
        <w:rPr>
          <w:rStyle w:val="FootnoteReference"/>
          <w:rFonts w:asciiTheme="majorHAnsi" w:eastAsia="Calibri" w:hAnsiTheme="majorHAnsi"/>
        </w:rPr>
        <w:footnoteReference w:id="238"/>
      </w:r>
      <w:r w:rsidR="00D9048D" w:rsidRPr="007C4B78">
        <w:rPr>
          <w:rFonts w:asciiTheme="majorHAnsi" w:eastAsia="Calibri" w:hAnsiTheme="majorHAnsi"/>
        </w:rPr>
        <w:t xml:space="preserve"> This report also recommended </w:t>
      </w:r>
      <w:r w:rsidR="005A4F90" w:rsidRPr="007C4B78">
        <w:rPr>
          <w:rFonts w:asciiTheme="majorHAnsi" w:eastAsia="Calibri" w:hAnsiTheme="majorHAnsi"/>
        </w:rPr>
        <w:t xml:space="preserve">the introduction of </w:t>
      </w:r>
      <w:r w:rsidR="00D9048D" w:rsidRPr="007C4B78">
        <w:rPr>
          <w:rFonts w:asciiTheme="majorHAnsi" w:eastAsia="Calibri" w:hAnsiTheme="majorHAnsi"/>
        </w:rPr>
        <w:t>a better, m</w:t>
      </w:r>
      <w:r w:rsidR="005A4F90" w:rsidRPr="007C4B78">
        <w:rPr>
          <w:rFonts w:asciiTheme="majorHAnsi" w:eastAsia="Calibri" w:hAnsiTheme="majorHAnsi"/>
        </w:rPr>
        <w:t>ore accessible complaint system</w:t>
      </w:r>
      <w:r w:rsidR="00D9048D" w:rsidRPr="007C4B78">
        <w:rPr>
          <w:rFonts w:asciiTheme="majorHAnsi" w:eastAsia="Calibri" w:hAnsiTheme="majorHAnsi"/>
        </w:rPr>
        <w:t xml:space="preserve"> that includes support mechanisms – which would be important for children with cognitive disabilities.</w:t>
      </w:r>
      <w:r w:rsidR="00D9048D" w:rsidRPr="007C4B78">
        <w:rPr>
          <w:rStyle w:val="FootnoteReference"/>
          <w:rFonts w:asciiTheme="majorHAnsi" w:eastAsia="Calibri" w:hAnsiTheme="majorHAnsi"/>
        </w:rPr>
        <w:footnoteReference w:id="239"/>
      </w:r>
    </w:p>
    <w:p w14:paraId="01933BA2" w14:textId="77777777" w:rsidR="00D9048D" w:rsidRPr="007C4B78" w:rsidRDefault="00D9048D" w:rsidP="004D12C3">
      <w:pPr>
        <w:jc w:val="both"/>
        <w:rPr>
          <w:rFonts w:asciiTheme="majorHAnsi" w:eastAsia="Calibri" w:hAnsiTheme="majorHAnsi"/>
        </w:rPr>
      </w:pPr>
    </w:p>
    <w:p w14:paraId="086370C0" w14:textId="77777777" w:rsidR="00D9048D" w:rsidRPr="007C4B78" w:rsidRDefault="00D9048D" w:rsidP="004D12C3">
      <w:pPr>
        <w:jc w:val="both"/>
        <w:rPr>
          <w:rFonts w:asciiTheme="majorHAnsi" w:eastAsia="Calibri" w:hAnsiTheme="majorHAnsi"/>
        </w:rPr>
      </w:pPr>
      <w:r w:rsidRPr="007C4B78">
        <w:rPr>
          <w:rFonts w:asciiTheme="majorHAnsi" w:eastAsia="Calibri" w:hAnsiTheme="majorHAnsi"/>
        </w:rPr>
        <w:t xml:space="preserve">The Committee for Judicial Studies in Ireland has produced a guide on appropriate treatment of people with disabilities in the court system but this </w:t>
      </w:r>
      <w:r w:rsidRPr="007C4B78">
        <w:rPr>
          <w:rFonts w:asciiTheme="majorHAnsi" w:eastAsia="Calibri" w:hAnsiTheme="majorHAnsi"/>
        </w:rPr>
        <w:lastRenderedPageBreak/>
        <w:t>guide is not widely available;</w:t>
      </w:r>
      <w:r w:rsidRPr="007C4B78">
        <w:rPr>
          <w:rStyle w:val="FootnoteReference"/>
          <w:rFonts w:asciiTheme="majorHAnsi" w:eastAsia="Calibri" w:hAnsiTheme="majorHAnsi"/>
        </w:rPr>
        <w:footnoteReference w:id="240"/>
      </w:r>
      <w:r w:rsidRPr="007C4B78">
        <w:rPr>
          <w:rFonts w:asciiTheme="majorHAnsi" w:eastAsia="Calibri" w:hAnsiTheme="majorHAnsi"/>
        </w:rPr>
        <w:t xml:space="preserve"> and there have also been further education seminars for judges on working with children,</w:t>
      </w:r>
      <w:r w:rsidRPr="007C4B78">
        <w:rPr>
          <w:rStyle w:val="FootnoteReference"/>
          <w:rFonts w:asciiTheme="majorHAnsi" w:eastAsia="Calibri" w:hAnsiTheme="majorHAnsi"/>
        </w:rPr>
        <w:footnoteReference w:id="241"/>
      </w:r>
      <w:r w:rsidRPr="007C4B78">
        <w:rPr>
          <w:rFonts w:asciiTheme="majorHAnsi" w:eastAsia="Calibri" w:hAnsiTheme="majorHAnsi"/>
        </w:rPr>
        <w:t xml:space="preserve"> although no specific seminars for judges have been held on children with cognitive disabilities in the justice system.</w:t>
      </w:r>
    </w:p>
    <w:p w14:paraId="69E92062" w14:textId="77777777" w:rsidR="00D9048D" w:rsidRPr="007C4B78" w:rsidRDefault="00D9048D" w:rsidP="004D12C3">
      <w:pPr>
        <w:jc w:val="both"/>
        <w:rPr>
          <w:rFonts w:asciiTheme="majorHAnsi" w:hAnsiTheme="majorHAnsi"/>
        </w:rPr>
      </w:pPr>
    </w:p>
    <w:p w14:paraId="2F8C4281" w14:textId="77777777" w:rsidR="003C6C9A" w:rsidRPr="007C4B78" w:rsidRDefault="006235AF" w:rsidP="004D12C3">
      <w:pPr>
        <w:pStyle w:val="Heading3"/>
        <w:jc w:val="both"/>
      </w:pPr>
      <w:bookmarkStart w:id="44" w:name="_Toc417303170"/>
      <w:r w:rsidRPr="007C4B78">
        <w:t>Laws</w:t>
      </w:r>
      <w:bookmarkEnd w:id="44"/>
    </w:p>
    <w:p w14:paraId="32E02A6D" w14:textId="77777777" w:rsidR="005404AB" w:rsidRPr="007C4B78" w:rsidRDefault="009963D6" w:rsidP="004D12C3">
      <w:pPr>
        <w:jc w:val="both"/>
        <w:rPr>
          <w:rFonts w:asciiTheme="majorHAnsi" w:eastAsia="Calibri" w:hAnsiTheme="majorHAnsi"/>
        </w:rPr>
      </w:pPr>
      <w:r w:rsidRPr="007C4B78">
        <w:rPr>
          <w:rFonts w:asciiTheme="majorHAnsi" w:eastAsia="Calibri" w:hAnsiTheme="majorHAnsi"/>
        </w:rPr>
        <w:t>Irish law contains</w:t>
      </w:r>
      <w:r w:rsidR="005404AB" w:rsidRPr="007C4B78">
        <w:rPr>
          <w:rFonts w:asciiTheme="majorHAnsi" w:eastAsia="Calibri" w:hAnsiTheme="majorHAnsi"/>
        </w:rPr>
        <w:t xml:space="preserve"> no separate </w:t>
      </w:r>
      <w:r w:rsidR="009B75EE" w:rsidRPr="007C4B78">
        <w:rPr>
          <w:rFonts w:asciiTheme="majorHAnsi" w:eastAsia="Calibri" w:hAnsiTheme="majorHAnsi"/>
        </w:rPr>
        <w:t xml:space="preserve">provisions </w:t>
      </w:r>
      <w:r w:rsidR="005404AB" w:rsidRPr="007C4B78">
        <w:rPr>
          <w:rFonts w:asciiTheme="majorHAnsi" w:eastAsia="Calibri" w:hAnsiTheme="majorHAnsi"/>
        </w:rPr>
        <w:t>for children with</w:t>
      </w:r>
      <w:r w:rsidR="009B75EE" w:rsidRPr="007C4B78">
        <w:rPr>
          <w:rFonts w:asciiTheme="majorHAnsi" w:eastAsia="Calibri" w:hAnsiTheme="majorHAnsi"/>
        </w:rPr>
        <w:t xml:space="preserve"> cognitive</w:t>
      </w:r>
      <w:r w:rsidR="005404AB" w:rsidRPr="007C4B78">
        <w:rPr>
          <w:rFonts w:asciiTheme="majorHAnsi" w:eastAsia="Calibri" w:hAnsiTheme="majorHAnsi"/>
        </w:rPr>
        <w:t xml:space="preserve"> disabilities </w:t>
      </w:r>
      <w:r w:rsidR="009B75EE" w:rsidRPr="007C4B78">
        <w:rPr>
          <w:rFonts w:asciiTheme="majorHAnsi" w:eastAsia="Calibri" w:hAnsiTheme="majorHAnsi"/>
        </w:rPr>
        <w:t xml:space="preserve">within </w:t>
      </w:r>
      <w:r w:rsidR="005404AB" w:rsidRPr="007C4B78">
        <w:rPr>
          <w:rFonts w:asciiTheme="majorHAnsi" w:eastAsia="Calibri" w:hAnsiTheme="majorHAnsi"/>
        </w:rPr>
        <w:t xml:space="preserve">the laws of evidence and criminal law. Unsworn testimony standards and alternative testifying procedures </w:t>
      </w:r>
      <w:r w:rsidR="009B75EE" w:rsidRPr="007C4B78">
        <w:rPr>
          <w:rFonts w:asciiTheme="majorHAnsi" w:eastAsia="Calibri" w:hAnsiTheme="majorHAnsi"/>
        </w:rPr>
        <w:t xml:space="preserve">can be used by </w:t>
      </w:r>
      <w:r w:rsidR="005404AB" w:rsidRPr="007C4B78">
        <w:rPr>
          <w:rFonts w:asciiTheme="majorHAnsi" w:eastAsia="Calibri" w:hAnsiTheme="majorHAnsi"/>
        </w:rPr>
        <w:t>children</w:t>
      </w:r>
      <w:r w:rsidR="009B75EE" w:rsidRPr="007C4B78">
        <w:rPr>
          <w:rFonts w:asciiTheme="majorHAnsi" w:eastAsia="Calibri" w:hAnsiTheme="majorHAnsi"/>
        </w:rPr>
        <w:t xml:space="preserve"> (in general)</w:t>
      </w:r>
      <w:r w:rsidR="005404AB" w:rsidRPr="007C4B78">
        <w:rPr>
          <w:rFonts w:asciiTheme="majorHAnsi" w:eastAsia="Calibri" w:hAnsiTheme="majorHAnsi"/>
        </w:rPr>
        <w:t xml:space="preserve"> and adults with disabilities but do not </w:t>
      </w:r>
      <w:r w:rsidR="009B75EE" w:rsidRPr="007C4B78">
        <w:rPr>
          <w:rFonts w:asciiTheme="majorHAnsi" w:eastAsia="Calibri" w:hAnsiTheme="majorHAnsi"/>
        </w:rPr>
        <w:t xml:space="preserve">consider </w:t>
      </w:r>
      <w:r w:rsidR="005404AB" w:rsidRPr="007C4B78">
        <w:rPr>
          <w:rFonts w:asciiTheme="majorHAnsi" w:eastAsia="Calibri" w:hAnsiTheme="majorHAnsi"/>
        </w:rPr>
        <w:t xml:space="preserve">children with disabilities as a separate </w:t>
      </w:r>
      <w:r w:rsidR="009B75EE" w:rsidRPr="007C4B78">
        <w:rPr>
          <w:rFonts w:asciiTheme="majorHAnsi" w:eastAsia="Calibri" w:hAnsiTheme="majorHAnsi"/>
        </w:rPr>
        <w:t xml:space="preserve">group </w:t>
      </w:r>
      <w:r w:rsidR="005404AB" w:rsidRPr="007C4B78">
        <w:rPr>
          <w:rFonts w:asciiTheme="majorHAnsi" w:eastAsia="Calibri" w:hAnsiTheme="majorHAnsi"/>
        </w:rPr>
        <w:t>under the law.</w:t>
      </w:r>
      <w:r w:rsidR="005404AB" w:rsidRPr="007C4B78">
        <w:rPr>
          <w:rStyle w:val="FootnoteReference"/>
          <w:rFonts w:asciiTheme="majorHAnsi" w:eastAsia="Calibri" w:hAnsiTheme="majorHAnsi"/>
        </w:rPr>
        <w:footnoteReference w:id="242"/>
      </w:r>
    </w:p>
    <w:p w14:paraId="5CC87016" w14:textId="77777777" w:rsidR="005404AB" w:rsidRPr="007C4B78" w:rsidRDefault="005404AB" w:rsidP="004D12C3">
      <w:pPr>
        <w:pStyle w:val="ListParagraph"/>
        <w:widowControl w:val="0"/>
        <w:autoSpaceDE w:val="0"/>
        <w:autoSpaceDN w:val="0"/>
        <w:adjustRightInd w:val="0"/>
        <w:jc w:val="both"/>
        <w:rPr>
          <w:rFonts w:asciiTheme="majorHAnsi" w:eastAsia="Calibri" w:hAnsiTheme="majorHAnsi"/>
          <w:u w:val="single"/>
        </w:rPr>
      </w:pPr>
    </w:p>
    <w:p w14:paraId="1080E9B1" w14:textId="77777777" w:rsidR="005404AB" w:rsidRPr="007C4B78" w:rsidRDefault="005404AB" w:rsidP="004D12C3">
      <w:pPr>
        <w:widowControl w:val="0"/>
        <w:autoSpaceDE w:val="0"/>
        <w:autoSpaceDN w:val="0"/>
        <w:adjustRightInd w:val="0"/>
        <w:jc w:val="both"/>
        <w:rPr>
          <w:rFonts w:asciiTheme="majorHAnsi" w:eastAsia="Calibri" w:hAnsiTheme="majorHAnsi"/>
        </w:rPr>
      </w:pPr>
      <w:r w:rsidRPr="007C4B78">
        <w:rPr>
          <w:rFonts w:asciiTheme="majorHAnsi" w:eastAsia="Calibri" w:hAnsiTheme="majorHAnsi"/>
        </w:rPr>
        <w:t>For criminal matters</w:t>
      </w:r>
      <w:r w:rsidRPr="007C4B78">
        <w:rPr>
          <w:rStyle w:val="FootnoteReference"/>
          <w:rFonts w:asciiTheme="majorHAnsi" w:eastAsia="Calibri" w:hAnsiTheme="majorHAnsi"/>
        </w:rPr>
        <w:footnoteReference w:id="243"/>
      </w:r>
      <w:r w:rsidRPr="007C4B78">
        <w:rPr>
          <w:rFonts w:asciiTheme="majorHAnsi" w:eastAsia="Calibri" w:hAnsiTheme="majorHAnsi"/>
        </w:rPr>
        <w:t xml:space="preserve"> or civil matters</w:t>
      </w:r>
      <w:r w:rsidRPr="007C4B78">
        <w:rPr>
          <w:rStyle w:val="FootnoteReference"/>
          <w:rFonts w:asciiTheme="majorHAnsi" w:eastAsia="Calibri" w:hAnsiTheme="majorHAnsi"/>
        </w:rPr>
        <w:footnoteReference w:id="244"/>
      </w:r>
      <w:r w:rsidRPr="007C4B78">
        <w:rPr>
          <w:rFonts w:asciiTheme="majorHAnsi" w:eastAsia="Calibri" w:hAnsiTheme="majorHAnsi"/>
        </w:rPr>
        <w:t xml:space="preserve"> children under 14 may give unsworn testimony if “the court is satisfied that he is capable of giving an intelligible account of events which are relevant to those proceedings.” In a case examining the ability of a court to admit the unsworn testimony of an adult with </w:t>
      </w:r>
      <w:r w:rsidR="00CF0F5B" w:rsidRPr="007C4B78">
        <w:rPr>
          <w:rFonts w:asciiTheme="majorHAnsi" w:eastAsia="Calibri" w:hAnsiTheme="majorHAnsi"/>
        </w:rPr>
        <w:t>cognitive disabilities</w:t>
      </w:r>
      <w:r w:rsidRPr="007C4B78">
        <w:rPr>
          <w:rFonts w:asciiTheme="majorHAnsi" w:eastAsia="Calibri" w:hAnsiTheme="majorHAnsi"/>
        </w:rPr>
        <w:t xml:space="preserve"> the court stated that there must be an inquiry to determine that 1) the person does have a </w:t>
      </w:r>
      <w:r w:rsidR="00654B52" w:rsidRPr="007C4B78">
        <w:rPr>
          <w:rFonts w:asciiTheme="majorHAnsi" w:eastAsia="Calibri" w:hAnsiTheme="majorHAnsi"/>
        </w:rPr>
        <w:t>cognitive disability</w:t>
      </w:r>
      <w:r w:rsidRPr="007C4B78">
        <w:rPr>
          <w:rFonts w:asciiTheme="majorHAnsi" w:eastAsia="Calibri" w:hAnsiTheme="majorHAnsi"/>
        </w:rPr>
        <w:t xml:space="preserve"> and that 2) the person is capable of giving a relevant and “intelligible account of events.”</w:t>
      </w:r>
      <w:r w:rsidRPr="007C4B78">
        <w:rPr>
          <w:rStyle w:val="FootnoteReference"/>
          <w:rFonts w:asciiTheme="majorHAnsi" w:eastAsia="Calibri" w:hAnsiTheme="majorHAnsi"/>
        </w:rPr>
        <w:footnoteReference w:id="245"/>
      </w:r>
    </w:p>
    <w:p w14:paraId="3C91DBC8" w14:textId="77777777" w:rsidR="005404AB" w:rsidRPr="007C4B78" w:rsidRDefault="005404AB" w:rsidP="004D12C3">
      <w:pPr>
        <w:pStyle w:val="ListParagraph"/>
        <w:widowControl w:val="0"/>
        <w:autoSpaceDE w:val="0"/>
        <w:autoSpaceDN w:val="0"/>
        <w:adjustRightInd w:val="0"/>
        <w:jc w:val="both"/>
        <w:rPr>
          <w:rFonts w:asciiTheme="majorHAnsi" w:eastAsia="Calibri" w:hAnsiTheme="majorHAnsi"/>
        </w:rPr>
      </w:pPr>
    </w:p>
    <w:p w14:paraId="42A94F23" w14:textId="77777777" w:rsidR="005404AB" w:rsidRPr="007C4B78" w:rsidRDefault="005404AB" w:rsidP="004D12C3">
      <w:pPr>
        <w:widowControl w:val="0"/>
        <w:autoSpaceDE w:val="0"/>
        <w:autoSpaceDN w:val="0"/>
        <w:adjustRightInd w:val="0"/>
        <w:jc w:val="both"/>
        <w:rPr>
          <w:rFonts w:asciiTheme="majorHAnsi" w:eastAsia="Calibri" w:hAnsiTheme="majorHAnsi" w:cs="Times"/>
        </w:rPr>
      </w:pPr>
      <w:r w:rsidRPr="007C4B78">
        <w:rPr>
          <w:rFonts w:asciiTheme="majorHAnsi" w:eastAsia="Calibri" w:hAnsiTheme="majorHAnsi"/>
        </w:rPr>
        <w:t>Corroboration of unsworn testimony is no longer required under Irish law but judges are allowed in their discretion to issue a caution to the jury about the dangers of convicting an alleged offender on uncorroborated testimony.</w:t>
      </w:r>
      <w:r w:rsidRPr="007C4B78">
        <w:rPr>
          <w:rStyle w:val="FootnoteReference"/>
          <w:rFonts w:asciiTheme="majorHAnsi" w:eastAsia="Calibri" w:hAnsiTheme="majorHAnsi"/>
        </w:rPr>
        <w:footnoteReference w:id="246"/>
      </w:r>
      <w:r w:rsidRPr="007C4B78">
        <w:rPr>
          <w:rFonts w:asciiTheme="majorHAnsi" w:eastAsia="Calibri" w:hAnsiTheme="majorHAnsi" w:cs="Times"/>
        </w:rPr>
        <w:t>T</w:t>
      </w:r>
      <w:r w:rsidR="0059177A" w:rsidRPr="007C4B78">
        <w:rPr>
          <w:rFonts w:asciiTheme="majorHAnsi" w:eastAsia="Calibri" w:hAnsiTheme="majorHAnsi" w:cs="Times"/>
        </w:rPr>
        <w:t>o date, t</w:t>
      </w:r>
      <w:r w:rsidRPr="007C4B78">
        <w:rPr>
          <w:rFonts w:asciiTheme="majorHAnsi" w:eastAsia="Calibri" w:hAnsiTheme="majorHAnsi" w:cs="Times"/>
        </w:rPr>
        <w:t xml:space="preserve">here is no information on how these laws operate in practice for children with </w:t>
      </w:r>
      <w:r w:rsidR="00CF0F5B" w:rsidRPr="007C4B78">
        <w:rPr>
          <w:rFonts w:asciiTheme="majorHAnsi" w:eastAsia="Calibri" w:hAnsiTheme="majorHAnsi" w:cs="Times"/>
        </w:rPr>
        <w:t>cognitive disabilities</w:t>
      </w:r>
      <w:r w:rsidRPr="007C4B78">
        <w:rPr>
          <w:rFonts w:asciiTheme="majorHAnsi" w:eastAsia="Calibri" w:hAnsiTheme="majorHAnsi" w:cs="Times"/>
        </w:rPr>
        <w:t>.</w:t>
      </w:r>
    </w:p>
    <w:p w14:paraId="744DD67E" w14:textId="77777777" w:rsidR="00181E40" w:rsidRPr="007C4B78" w:rsidRDefault="00181E40" w:rsidP="004D12C3">
      <w:pPr>
        <w:pStyle w:val="ColorfulList-Accent11"/>
        <w:ind w:left="0"/>
        <w:jc w:val="both"/>
        <w:rPr>
          <w:rFonts w:asciiTheme="majorHAnsi" w:hAnsiTheme="majorHAnsi"/>
        </w:rPr>
      </w:pPr>
    </w:p>
    <w:p w14:paraId="692A8560" w14:textId="77777777" w:rsidR="006B7F10" w:rsidRPr="007C4B78" w:rsidRDefault="0059177A" w:rsidP="004D12C3">
      <w:pPr>
        <w:jc w:val="both"/>
        <w:rPr>
          <w:rFonts w:asciiTheme="majorHAnsi" w:eastAsia="Calibri" w:hAnsiTheme="majorHAnsi"/>
        </w:rPr>
      </w:pPr>
      <w:r w:rsidRPr="007C4B78">
        <w:rPr>
          <w:rFonts w:asciiTheme="majorHAnsi" w:eastAsia="Calibri" w:hAnsiTheme="majorHAnsi"/>
        </w:rPr>
        <w:t xml:space="preserve">As set out above, </w:t>
      </w:r>
      <w:r w:rsidRPr="007C4B78">
        <w:rPr>
          <w:rFonts w:asciiTheme="majorHAnsi" w:hAnsiTheme="majorHAnsi"/>
        </w:rPr>
        <w:t>t</w:t>
      </w:r>
      <w:r w:rsidR="003C6C9A" w:rsidRPr="007C4B78">
        <w:rPr>
          <w:rFonts w:asciiTheme="majorHAnsi" w:hAnsiTheme="majorHAnsi"/>
        </w:rPr>
        <w:t>he general age of criminal responsibility</w:t>
      </w:r>
      <w:r w:rsidRPr="007C4B78">
        <w:rPr>
          <w:rFonts w:asciiTheme="majorHAnsi" w:hAnsiTheme="majorHAnsi"/>
        </w:rPr>
        <w:t xml:space="preserve"> in Ireland</w:t>
      </w:r>
      <w:r w:rsidR="003C6C9A" w:rsidRPr="007C4B78">
        <w:rPr>
          <w:rFonts w:asciiTheme="majorHAnsi" w:hAnsiTheme="majorHAnsi"/>
        </w:rPr>
        <w:t xml:space="preserve"> is 12, but a child of 10-11 may be charged with the crimes of murder, manslaughter, rape and aggravated sexual assault.</w:t>
      </w:r>
      <w:r w:rsidR="003C6C9A" w:rsidRPr="007C4B78">
        <w:rPr>
          <w:rStyle w:val="FootnoteReference"/>
          <w:rFonts w:asciiTheme="majorHAnsi" w:hAnsiTheme="majorHAnsi"/>
        </w:rPr>
        <w:footnoteReference w:id="247"/>
      </w:r>
      <w:r w:rsidR="006B7F10" w:rsidRPr="007C4B78">
        <w:rPr>
          <w:rFonts w:asciiTheme="majorHAnsi" w:eastAsia="Calibri" w:hAnsiTheme="majorHAnsi"/>
        </w:rPr>
        <w:t>Prosecutions of children under the age of 14 require the consent of the Director of Public Prosecution.</w:t>
      </w:r>
      <w:r w:rsidR="006B7F10" w:rsidRPr="007C4B78">
        <w:rPr>
          <w:rStyle w:val="FootnoteReference"/>
          <w:rFonts w:asciiTheme="majorHAnsi" w:eastAsia="Calibri" w:hAnsiTheme="majorHAnsi"/>
        </w:rPr>
        <w:footnoteReference w:id="248"/>
      </w:r>
      <w:r w:rsidR="00336B4E" w:rsidRPr="007C4B78">
        <w:rPr>
          <w:rFonts w:asciiTheme="majorHAnsi" w:eastAsia="Calibri" w:hAnsiTheme="majorHAnsi"/>
        </w:rPr>
        <w:t>Where a</w:t>
      </w:r>
      <w:r w:rsidR="006B7F10" w:rsidRPr="007C4B78">
        <w:rPr>
          <w:rFonts w:asciiTheme="majorHAnsi" w:eastAsia="Calibri" w:hAnsiTheme="majorHAnsi"/>
        </w:rPr>
        <w:t xml:space="preserve"> child under the age of criminal </w:t>
      </w:r>
      <w:r w:rsidR="00336B4E" w:rsidRPr="007C4B78">
        <w:rPr>
          <w:rFonts w:asciiTheme="majorHAnsi" w:eastAsia="Calibri" w:hAnsiTheme="majorHAnsi"/>
        </w:rPr>
        <w:t xml:space="preserve">responsibility is </w:t>
      </w:r>
      <w:r w:rsidR="006B7F10" w:rsidRPr="007C4B78">
        <w:rPr>
          <w:rFonts w:asciiTheme="majorHAnsi" w:eastAsia="Calibri" w:hAnsiTheme="majorHAnsi"/>
        </w:rPr>
        <w:t>suspected of committing a crime (not including murder, manslaughter, rape and aggravated sexual assault)</w:t>
      </w:r>
      <w:r w:rsidR="00336B4E" w:rsidRPr="007C4B78">
        <w:rPr>
          <w:rFonts w:asciiTheme="majorHAnsi" w:eastAsia="Calibri" w:hAnsiTheme="majorHAnsi"/>
        </w:rPr>
        <w:t>, the matter</w:t>
      </w:r>
      <w:r w:rsidR="006B7F10" w:rsidRPr="007C4B78">
        <w:rPr>
          <w:rFonts w:asciiTheme="majorHAnsi" w:eastAsia="Calibri" w:hAnsiTheme="majorHAnsi"/>
        </w:rPr>
        <w:t xml:space="preserve"> is to be brought to the child’s parent or guardian.</w:t>
      </w:r>
      <w:r w:rsidR="006B7F10" w:rsidRPr="007C4B78">
        <w:rPr>
          <w:rStyle w:val="FootnoteReference"/>
          <w:rFonts w:asciiTheme="majorHAnsi" w:eastAsia="Calibri" w:hAnsiTheme="majorHAnsi"/>
        </w:rPr>
        <w:footnoteReference w:id="249"/>
      </w:r>
      <w:r w:rsidR="006B7F10" w:rsidRPr="007C4B78">
        <w:rPr>
          <w:rFonts w:asciiTheme="majorHAnsi" w:hAnsiTheme="majorHAnsi"/>
        </w:rPr>
        <w:t>A child may name a solicitor to be contacted</w:t>
      </w:r>
      <w:r w:rsidR="00336B4E" w:rsidRPr="007C4B78">
        <w:rPr>
          <w:rFonts w:asciiTheme="majorHAnsi" w:hAnsiTheme="majorHAnsi"/>
        </w:rPr>
        <w:t xml:space="preserve"> if detained for questioning in the criminal justice system</w:t>
      </w:r>
      <w:r w:rsidR="006B7F10" w:rsidRPr="007C4B78">
        <w:rPr>
          <w:rStyle w:val="FootnoteReference"/>
          <w:rFonts w:asciiTheme="majorHAnsi" w:hAnsiTheme="majorHAnsi"/>
        </w:rPr>
        <w:footnoteReference w:id="250"/>
      </w:r>
      <w:r w:rsidR="006B7F10" w:rsidRPr="007C4B78">
        <w:rPr>
          <w:rFonts w:asciiTheme="majorHAnsi" w:hAnsiTheme="majorHAnsi"/>
        </w:rPr>
        <w:t xml:space="preserve"> but it is the parent or guardian that must be notified of the child’s </w:t>
      </w:r>
      <w:r w:rsidR="00D42CD8" w:rsidRPr="007C4B78">
        <w:rPr>
          <w:rFonts w:asciiTheme="majorHAnsi" w:hAnsiTheme="majorHAnsi"/>
        </w:rPr>
        <w:t xml:space="preserve">detention </w:t>
      </w:r>
      <w:r w:rsidR="006B7F10" w:rsidRPr="007C4B78">
        <w:rPr>
          <w:rFonts w:asciiTheme="majorHAnsi" w:hAnsiTheme="majorHAnsi"/>
        </w:rPr>
        <w:t xml:space="preserve">and </w:t>
      </w:r>
      <w:r w:rsidR="00336B4E" w:rsidRPr="007C4B78">
        <w:rPr>
          <w:rFonts w:asciiTheme="majorHAnsi" w:hAnsiTheme="majorHAnsi"/>
        </w:rPr>
        <w:t xml:space="preserve">who holds the </w:t>
      </w:r>
      <w:r w:rsidR="006B7F10" w:rsidRPr="007C4B78">
        <w:rPr>
          <w:rFonts w:asciiTheme="majorHAnsi" w:hAnsiTheme="majorHAnsi"/>
        </w:rPr>
        <w:t xml:space="preserve">right to </w:t>
      </w:r>
      <w:r w:rsidR="00336B4E" w:rsidRPr="007C4B78">
        <w:rPr>
          <w:rFonts w:asciiTheme="majorHAnsi" w:hAnsiTheme="majorHAnsi"/>
        </w:rPr>
        <w:t>legal representation.</w:t>
      </w:r>
      <w:r w:rsidR="006B7F10" w:rsidRPr="007C4B78">
        <w:rPr>
          <w:rStyle w:val="FootnoteReference"/>
          <w:rFonts w:asciiTheme="majorHAnsi" w:hAnsiTheme="majorHAnsi"/>
        </w:rPr>
        <w:footnoteReference w:id="251"/>
      </w:r>
    </w:p>
    <w:p w14:paraId="1F4B9968" w14:textId="77777777" w:rsidR="003C6C9A" w:rsidRPr="007C4B78" w:rsidRDefault="003C6C9A" w:rsidP="004D12C3">
      <w:pPr>
        <w:pStyle w:val="ColorfulList-Accent11"/>
        <w:ind w:left="0"/>
        <w:jc w:val="both"/>
        <w:rPr>
          <w:rFonts w:asciiTheme="majorHAnsi" w:hAnsiTheme="majorHAnsi"/>
        </w:rPr>
      </w:pPr>
    </w:p>
    <w:p w14:paraId="3248E2FB" w14:textId="77777777" w:rsidR="001149FA" w:rsidRPr="007C4B78" w:rsidRDefault="001149FA" w:rsidP="004D12C3">
      <w:pPr>
        <w:tabs>
          <w:tab w:val="left" w:pos="680"/>
        </w:tabs>
        <w:jc w:val="both"/>
        <w:rPr>
          <w:rFonts w:asciiTheme="majorHAnsi" w:eastAsia="Arial" w:hAnsiTheme="majorHAnsi" w:cs="Arial"/>
        </w:rPr>
      </w:pPr>
      <w:r w:rsidRPr="007C4B78">
        <w:rPr>
          <w:rFonts w:asciiTheme="majorHAnsi" w:eastAsia="Arial" w:hAnsiTheme="majorHAnsi" w:cs="Arial"/>
        </w:rPr>
        <w:t>Generally a suspect is only allowed reasonable access to a solicitor during questioning and the lawyer is not required to be present during interrogation.</w:t>
      </w:r>
      <w:r w:rsidRPr="007C4B78">
        <w:rPr>
          <w:rStyle w:val="FootnoteReference"/>
          <w:rFonts w:asciiTheme="majorHAnsi" w:eastAsia="Arial" w:hAnsiTheme="majorHAnsi" w:cs="Arial"/>
        </w:rPr>
        <w:footnoteReference w:id="252"/>
      </w:r>
      <w:r w:rsidRPr="007C4B78">
        <w:rPr>
          <w:rFonts w:asciiTheme="majorHAnsi" w:eastAsia="Arial" w:hAnsiTheme="majorHAnsi" w:cs="Arial"/>
        </w:rPr>
        <w:t xml:space="preserve"> A recent case involving a child with a </w:t>
      </w:r>
      <w:r w:rsidR="00181E40" w:rsidRPr="007C4B78">
        <w:rPr>
          <w:rFonts w:asciiTheme="majorHAnsi" w:eastAsia="Arial" w:hAnsiTheme="majorHAnsi" w:cs="Arial"/>
        </w:rPr>
        <w:t xml:space="preserve">“severe mental health and </w:t>
      </w:r>
      <w:r w:rsidR="00051106" w:rsidRPr="007C4B78">
        <w:rPr>
          <w:rFonts w:asciiTheme="majorHAnsi" w:eastAsia="Arial" w:hAnsiTheme="majorHAnsi" w:cs="Arial"/>
        </w:rPr>
        <w:t>behavioural difficulties”</w:t>
      </w:r>
      <w:r w:rsidRPr="007C4B78">
        <w:rPr>
          <w:rFonts w:asciiTheme="majorHAnsi" w:eastAsia="Arial" w:hAnsiTheme="majorHAnsi" w:cs="Arial"/>
        </w:rPr>
        <w:t xml:space="preserve"> affirmed that even where the person questioned was under 18 and had “severe mental health/behavioural” difficulties presence of solicitor is not required for the detention to be lawful.</w:t>
      </w:r>
      <w:r w:rsidRPr="007C4B78">
        <w:rPr>
          <w:rStyle w:val="FootnoteReference"/>
          <w:rFonts w:asciiTheme="majorHAnsi" w:eastAsia="Arial" w:hAnsiTheme="majorHAnsi" w:cs="Arial"/>
        </w:rPr>
        <w:footnoteReference w:id="253"/>
      </w:r>
      <w:r w:rsidRPr="007C4B78">
        <w:rPr>
          <w:rFonts w:asciiTheme="majorHAnsi" w:eastAsia="Arial" w:hAnsiTheme="majorHAnsi" w:cs="Arial"/>
        </w:rPr>
        <w:t xml:space="preserve"> The court held that</w:t>
      </w:r>
      <w:r w:rsidR="00D42CD8" w:rsidRPr="007C4B78">
        <w:rPr>
          <w:rFonts w:asciiTheme="majorHAnsi" w:eastAsia="Arial" w:hAnsiTheme="majorHAnsi" w:cs="Arial"/>
        </w:rPr>
        <w:t xml:space="preserve"> in this case</w:t>
      </w:r>
      <w:r w:rsidR="00B7355C" w:rsidRPr="007C4B78">
        <w:rPr>
          <w:rFonts w:asciiTheme="majorHAnsi" w:eastAsia="Arial" w:hAnsiTheme="majorHAnsi" w:cs="Arial"/>
        </w:rPr>
        <w:t xml:space="preserve"> </w:t>
      </w:r>
      <w:r w:rsidR="00D42CD8" w:rsidRPr="007C4B78">
        <w:rPr>
          <w:rFonts w:asciiTheme="majorHAnsi" w:eastAsia="Arial" w:hAnsiTheme="majorHAnsi" w:cs="Arial"/>
        </w:rPr>
        <w:t>the young person</w:t>
      </w:r>
      <w:r w:rsidRPr="007C4B78">
        <w:rPr>
          <w:rFonts w:asciiTheme="majorHAnsi" w:eastAsia="Arial" w:hAnsiTheme="majorHAnsi" w:cs="Arial"/>
        </w:rPr>
        <w:t xml:space="preserve"> was </w:t>
      </w:r>
      <w:r w:rsidR="00D42CD8" w:rsidRPr="007C4B78">
        <w:rPr>
          <w:rFonts w:asciiTheme="majorHAnsi" w:eastAsia="Arial" w:hAnsiTheme="majorHAnsi" w:cs="Arial"/>
        </w:rPr>
        <w:t xml:space="preserve">adequately </w:t>
      </w:r>
      <w:r w:rsidRPr="007C4B78">
        <w:rPr>
          <w:rFonts w:asciiTheme="majorHAnsi" w:eastAsia="Arial" w:hAnsiTheme="majorHAnsi" w:cs="Arial"/>
        </w:rPr>
        <w:t xml:space="preserve">protected through the presence of a parent and “reasonable access” to </w:t>
      </w:r>
      <w:r w:rsidR="00D42CD8" w:rsidRPr="007C4B78">
        <w:rPr>
          <w:rFonts w:asciiTheme="majorHAnsi" w:eastAsia="Arial" w:hAnsiTheme="majorHAnsi" w:cs="Arial"/>
        </w:rPr>
        <w:t>a</w:t>
      </w:r>
      <w:r w:rsidRPr="007C4B78">
        <w:rPr>
          <w:rFonts w:asciiTheme="majorHAnsi" w:eastAsia="Arial" w:hAnsiTheme="majorHAnsi" w:cs="Arial"/>
        </w:rPr>
        <w:t xml:space="preserve"> solicitor.</w:t>
      </w:r>
      <w:r w:rsidRPr="007C4B78">
        <w:rPr>
          <w:rStyle w:val="FootnoteReference"/>
          <w:rFonts w:asciiTheme="majorHAnsi" w:eastAsia="Arial" w:hAnsiTheme="majorHAnsi" w:cs="Arial"/>
        </w:rPr>
        <w:footnoteReference w:id="254"/>
      </w:r>
    </w:p>
    <w:p w14:paraId="31387381" w14:textId="77777777" w:rsidR="00F204A7" w:rsidRPr="007C4B78" w:rsidRDefault="00F204A7" w:rsidP="004D12C3">
      <w:pPr>
        <w:tabs>
          <w:tab w:val="left" w:pos="680"/>
        </w:tabs>
        <w:jc w:val="both"/>
        <w:rPr>
          <w:rFonts w:asciiTheme="majorHAnsi" w:eastAsia="Arial" w:hAnsiTheme="majorHAnsi" w:cs="Arial"/>
        </w:rPr>
      </w:pPr>
    </w:p>
    <w:p w14:paraId="5DB3D7CE" w14:textId="77777777" w:rsidR="00F204A7" w:rsidRPr="007C4B78" w:rsidRDefault="00F204A7" w:rsidP="004D12C3">
      <w:pPr>
        <w:jc w:val="both"/>
        <w:rPr>
          <w:rFonts w:asciiTheme="majorHAnsi" w:eastAsia="Calibri" w:hAnsiTheme="majorHAnsi"/>
        </w:rPr>
      </w:pPr>
      <w:r w:rsidRPr="007C4B78">
        <w:rPr>
          <w:rFonts w:asciiTheme="majorHAnsi" w:eastAsia="Calibri" w:hAnsiTheme="majorHAnsi"/>
        </w:rPr>
        <w:t>The Children Act 2001 generally makes reference to protection of a child’s rights in all legal proceedings (criminal and civil) solely through the presence and notification of the child’s parent or guardian. Under s57 of the Act</w:t>
      </w:r>
      <w:r w:rsidR="001355A9" w:rsidRPr="007C4B78">
        <w:rPr>
          <w:rFonts w:asciiTheme="majorHAnsi" w:eastAsia="Calibri" w:hAnsiTheme="majorHAnsi"/>
        </w:rPr>
        <w:t>,</w:t>
      </w:r>
      <w:r w:rsidRPr="007C4B78">
        <w:rPr>
          <w:rFonts w:asciiTheme="majorHAnsi" w:eastAsia="Calibri" w:hAnsiTheme="majorHAnsi"/>
        </w:rPr>
        <w:t xml:space="preserve"> an arrested child must be informed of the arresting offence, their right to consult a solicitor and that their guardian is being informed that the child is in custody, the child’s rights and that the parent or guardian presence is requested.</w:t>
      </w:r>
      <w:r w:rsidRPr="007C4B78">
        <w:rPr>
          <w:rStyle w:val="FootnoteReference"/>
          <w:rFonts w:asciiTheme="majorHAnsi" w:eastAsia="Calibri" w:hAnsiTheme="majorHAnsi"/>
        </w:rPr>
        <w:footnoteReference w:id="255"/>
      </w:r>
      <w:r w:rsidRPr="007C4B78">
        <w:rPr>
          <w:rFonts w:asciiTheme="majorHAnsi" w:eastAsia="Calibri" w:hAnsiTheme="majorHAnsi"/>
        </w:rPr>
        <w:t xml:space="preserve"> This information must be communicated in a manner appropriate to the level of understanding of the child.</w:t>
      </w:r>
      <w:r w:rsidRPr="007C4B78">
        <w:rPr>
          <w:rStyle w:val="FootnoteReference"/>
          <w:rFonts w:asciiTheme="majorHAnsi" w:eastAsia="Calibri" w:hAnsiTheme="majorHAnsi"/>
        </w:rPr>
        <w:footnoteReference w:id="256"/>
      </w:r>
    </w:p>
    <w:p w14:paraId="576ADFAA" w14:textId="77777777" w:rsidR="00F204A7" w:rsidRPr="007C4B78" w:rsidRDefault="00F204A7" w:rsidP="004D12C3">
      <w:pPr>
        <w:jc w:val="both"/>
        <w:rPr>
          <w:rFonts w:asciiTheme="majorHAnsi" w:eastAsia="Calibri" w:hAnsiTheme="majorHAnsi"/>
        </w:rPr>
      </w:pPr>
    </w:p>
    <w:p w14:paraId="3A1350D4" w14:textId="77777777" w:rsidR="00F204A7" w:rsidRPr="007C4B78" w:rsidRDefault="001355A9" w:rsidP="004D12C3">
      <w:pPr>
        <w:jc w:val="both"/>
        <w:rPr>
          <w:rFonts w:asciiTheme="majorHAnsi" w:eastAsia="Calibri" w:hAnsiTheme="majorHAnsi"/>
        </w:rPr>
      </w:pPr>
      <w:r w:rsidRPr="007C4B78">
        <w:rPr>
          <w:rFonts w:asciiTheme="majorHAnsi" w:eastAsia="Calibri" w:hAnsiTheme="majorHAnsi"/>
        </w:rPr>
        <w:t>The Act requires that a</w:t>
      </w:r>
      <w:r w:rsidR="00F204A7" w:rsidRPr="007C4B78">
        <w:rPr>
          <w:rFonts w:asciiTheme="majorHAnsi" w:eastAsia="Calibri" w:hAnsiTheme="majorHAnsi"/>
        </w:rPr>
        <w:t xml:space="preserve"> child’s parent or guardian </w:t>
      </w:r>
      <w:r w:rsidRPr="007C4B78">
        <w:rPr>
          <w:rFonts w:asciiTheme="majorHAnsi" w:eastAsia="Calibri" w:hAnsiTheme="majorHAnsi"/>
        </w:rPr>
        <w:t>is</w:t>
      </w:r>
      <w:r w:rsidR="00F204A7" w:rsidRPr="007C4B78">
        <w:rPr>
          <w:rFonts w:asciiTheme="majorHAnsi" w:eastAsia="Calibri" w:hAnsiTheme="majorHAnsi"/>
        </w:rPr>
        <w:t xml:space="preserve"> informed of their arrest as soon as practicable.</w:t>
      </w:r>
      <w:r w:rsidR="00F204A7" w:rsidRPr="007C4B78">
        <w:rPr>
          <w:rStyle w:val="FootnoteReference"/>
          <w:rFonts w:asciiTheme="majorHAnsi" w:eastAsia="Calibri" w:hAnsiTheme="majorHAnsi"/>
        </w:rPr>
        <w:footnoteReference w:id="257"/>
      </w:r>
      <w:r w:rsidR="00F204A7" w:rsidRPr="007C4B78">
        <w:rPr>
          <w:rFonts w:asciiTheme="majorHAnsi" w:eastAsia="Calibri" w:hAnsiTheme="majorHAnsi"/>
        </w:rPr>
        <w:t xml:space="preserve"> The child may not be interviewed unless the parent or guardian is present.</w:t>
      </w:r>
      <w:r w:rsidR="00F204A7" w:rsidRPr="007C4B78">
        <w:rPr>
          <w:rStyle w:val="FootnoteReference"/>
          <w:rFonts w:asciiTheme="majorHAnsi" w:eastAsia="Calibri" w:hAnsiTheme="majorHAnsi"/>
        </w:rPr>
        <w:footnoteReference w:id="258"/>
      </w:r>
      <w:r w:rsidR="00F204A7" w:rsidRPr="007C4B78">
        <w:rPr>
          <w:rFonts w:asciiTheme="majorHAnsi" w:eastAsia="Calibri" w:hAnsiTheme="majorHAnsi"/>
        </w:rPr>
        <w:t xml:space="preserve">  If a guardian or parent is not present then the interview cannot take place until another non-Garda adult who is nominated by the member in charge of the Garda station is present.</w:t>
      </w:r>
      <w:r w:rsidR="00F204A7" w:rsidRPr="007C4B78">
        <w:rPr>
          <w:rStyle w:val="FootnoteReference"/>
          <w:rFonts w:asciiTheme="majorHAnsi" w:eastAsia="Calibri" w:hAnsiTheme="majorHAnsi"/>
        </w:rPr>
        <w:footnoteReference w:id="259"/>
      </w:r>
    </w:p>
    <w:p w14:paraId="1210A737" w14:textId="77777777" w:rsidR="003F1A89" w:rsidRPr="007C4B78" w:rsidRDefault="003F1A89" w:rsidP="004D12C3">
      <w:pPr>
        <w:tabs>
          <w:tab w:val="left" w:pos="680"/>
        </w:tabs>
        <w:jc w:val="both"/>
        <w:rPr>
          <w:rFonts w:asciiTheme="majorHAnsi" w:eastAsia="Arial" w:hAnsiTheme="majorHAnsi" w:cs="Arial"/>
          <w:lang w:val="en-US"/>
        </w:rPr>
      </w:pPr>
    </w:p>
    <w:p w14:paraId="23EBA66C" w14:textId="77777777" w:rsidR="00D42CD8" w:rsidRPr="007C4B78" w:rsidRDefault="00D42CD8" w:rsidP="004D12C3">
      <w:pPr>
        <w:jc w:val="both"/>
        <w:rPr>
          <w:rFonts w:asciiTheme="majorHAnsi" w:eastAsia="Calibri" w:hAnsiTheme="majorHAnsi"/>
        </w:rPr>
      </w:pPr>
      <w:r w:rsidRPr="007C4B78">
        <w:rPr>
          <w:rFonts w:asciiTheme="majorHAnsi" w:eastAsia="Calibri" w:hAnsiTheme="majorHAnsi"/>
        </w:rPr>
        <w:t xml:space="preserve">Following questioning of a child suspect, a file may be prepared and sent to the DPP. </w:t>
      </w:r>
      <w:r w:rsidR="005E2246" w:rsidRPr="007C4B78">
        <w:rPr>
          <w:rFonts w:asciiTheme="majorHAnsi" w:eastAsia="Calibri" w:hAnsiTheme="majorHAnsi"/>
        </w:rPr>
        <w:t>T</w:t>
      </w:r>
      <w:r w:rsidRPr="007C4B78">
        <w:rPr>
          <w:rFonts w:asciiTheme="majorHAnsi" w:eastAsia="Calibri" w:hAnsiTheme="majorHAnsi"/>
        </w:rPr>
        <w:t>he Guidelines for Prosecutors requires prosecutors to consider significant cognitive disability and/or youth of the alleged offender in determining whether the public interest requires a prosecution of an alleged offender.</w:t>
      </w:r>
      <w:r w:rsidRPr="007C4B78">
        <w:rPr>
          <w:rStyle w:val="FootnoteReference"/>
          <w:rFonts w:asciiTheme="majorHAnsi" w:eastAsia="Calibri" w:hAnsiTheme="majorHAnsi"/>
        </w:rPr>
        <w:footnoteReference w:id="260"/>
      </w:r>
    </w:p>
    <w:p w14:paraId="225C54FA" w14:textId="77777777" w:rsidR="005E2246" w:rsidRPr="007C4B78" w:rsidRDefault="005E2246" w:rsidP="004D12C3">
      <w:pPr>
        <w:jc w:val="both"/>
        <w:rPr>
          <w:rFonts w:asciiTheme="majorHAnsi" w:eastAsia="Calibri" w:hAnsiTheme="majorHAnsi"/>
        </w:rPr>
      </w:pPr>
    </w:p>
    <w:p w14:paraId="4B34C932" w14:textId="77777777" w:rsidR="0043430B" w:rsidRPr="007C4B78" w:rsidRDefault="0043430B" w:rsidP="004D12C3">
      <w:pPr>
        <w:jc w:val="both"/>
        <w:rPr>
          <w:rFonts w:asciiTheme="majorHAnsi" w:eastAsia="Calibri" w:hAnsiTheme="majorHAnsi"/>
        </w:rPr>
      </w:pPr>
      <w:r w:rsidRPr="007C4B78">
        <w:rPr>
          <w:rFonts w:asciiTheme="majorHAnsi" w:eastAsia="Calibri" w:hAnsiTheme="majorHAnsi"/>
        </w:rPr>
        <w:t xml:space="preserve">After a determination of the guilt or innocence of the alleged child offender in district court there may then be a separate proceeding in Children’s Court on the welfare of the child. </w:t>
      </w:r>
      <w:r w:rsidRPr="007C4B78">
        <w:rPr>
          <w:rStyle w:val="FootnoteReference"/>
          <w:rFonts w:asciiTheme="majorHAnsi" w:eastAsia="Calibri" w:hAnsiTheme="majorHAnsi"/>
        </w:rPr>
        <w:footnoteReference w:id="261"/>
      </w:r>
      <w:r w:rsidRPr="007C4B78">
        <w:rPr>
          <w:rFonts w:asciiTheme="majorHAnsi" w:eastAsia="Calibri" w:hAnsiTheme="majorHAnsi"/>
        </w:rPr>
        <w:t xml:space="preserve"> The Children’s Court may issue emergency supervision or orders or </w:t>
      </w:r>
      <w:r w:rsidR="00B7355C" w:rsidRPr="007C4B78">
        <w:rPr>
          <w:rFonts w:asciiTheme="majorHAnsi" w:eastAsia="Calibri" w:hAnsiTheme="majorHAnsi"/>
        </w:rPr>
        <w:t xml:space="preserve">refer the matter to </w:t>
      </w:r>
      <w:r w:rsidR="00F076C2" w:rsidRPr="007C4B78">
        <w:rPr>
          <w:rFonts w:asciiTheme="majorHAnsi" w:eastAsia="Calibri" w:hAnsiTheme="majorHAnsi"/>
        </w:rPr>
        <w:t>Tusla</w:t>
      </w:r>
      <w:r w:rsidRPr="007C4B78">
        <w:rPr>
          <w:rFonts w:asciiTheme="majorHAnsi" w:eastAsia="Calibri" w:hAnsiTheme="majorHAnsi"/>
        </w:rPr>
        <w:t xml:space="preserve"> for a family welfare hearing</w:t>
      </w:r>
      <w:r w:rsidR="009712A8" w:rsidRPr="007C4B78">
        <w:rPr>
          <w:rFonts w:asciiTheme="majorHAnsi" w:eastAsia="Calibri" w:hAnsiTheme="majorHAnsi"/>
        </w:rPr>
        <w:t xml:space="preserve">. </w:t>
      </w:r>
      <w:r w:rsidRPr="007C4B78">
        <w:rPr>
          <w:rFonts w:asciiTheme="majorHAnsi" w:eastAsia="Calibri" w:hAnsiTheme="majorHAnsi"/>
        </w:rPr>
        <w:t>The Children</w:t>
      </w:r>
      <w:r w:rsidR="009712A8" w:rsidRPr="007C4B78">
        <w:rPr>
          <w:rFonts w:asciiTheme="majorHAnsi" w:eastAsia="Calibri" w:hAnsiTheme="majorHAnsi"/>
        </w:rPr>
        <w:t xml:space="preserve"> Act</w:t>
      </w:r>
      <w:r w:rsidRPr="007C4B78">
        <w:rPr>
          <w:rFonts w:asciiTheme="majorHAnsi" w:eastAsia="Calibri" w:hAnsiTheme="majorHAnsi"/>
        </w:rPr>
        <w:t xml:space="preserve"> 2001 also grants jurisdiction </w:t>
      </w:r>
      <w:r w:rsidR="000E5482" w:rsidRPr="007C4B78">
        <w:rPr>
          <w:rFonts w:asciiTheme="majorHAnsi" w:eastAsia="Calibri" w:hAnsiTheme="majorHAnsi"/>
        </w:rPr>
        <w:t xml:space="preserve">to the Children Court for </w:t>
      </w:r>
      <w:r w:rsidRPr="007C4B78">
        <w:rPr>
          <w:rFonts w:asciiTheme="majorHAnsi" w:eastAsia="Calibri" w:hAnsiTheme="majorHAnsi"/>
        </w:rPr>
        <w:t xml:space="preserve">cases involving child offenders where the matter is indictable </w:t>
      </w:r>
      <w:r w:rsidR="000E5482" w:rsidRPr="007C4B78">
        <w:rPr>
          <w:rFonts w:asciiTheme="majorHAnsi" w:eastAsia="Calibri" w:hAnsiTheme="majorHAnsi"/>
        </w:rPr>
        <w:t>but</w:t>
      </w:r>
      <w:r w:rsidRPr="007C4B78">
        <w:rPr>
          <w:rFonts w:asciiTheme="majorHAnsi" w:eastAsia="Calibri" w:hAnsiTheme="majorHAnsi"/>
        </w:rPr>
        <w:t xml:space="preserve"> may be dealt with summarily.</w:t>
      </w:r>
      <w:r w:rsidRPr="007C4B78">
        <w:rPr>
          <w:rStyle w:val="FootnoteReference"/>
          <w:rFonts w:asciiTheme="majorHAnsi" w:eastAsia="Calibri" w:hAnsiTheme="majorHAnsi"/>
        </w:rPr>
        <w:footnoteReference w:id="262"/>
      </w:r>
      <w:r w:rsidRPr="007C4B78">
        <w:rPr>
          <w:rFonts w:asciiTheme="majorHAnsi" w:eastAsia="Calibri" w:hAnsiTheme="majorHAnsi"/>
        </w:rPr>
        <w:t xml:space="preserve"> This jurisdiction is discretionary rather than mandatory and the court takes into </w:t>
      </w:r>
      <w:r w:rsidRPr="007C4B78">
        <w:rPr>
          <w:rFonts w:asciiTheme="majorHAnsi" w:eastAsia="Calibri" w:hAnsiTheme="majorHAnsi"/>
        </w:rPr>
        <w:lastRenderedPageBreak/>
        <w:t>account the age and level of maturity of the child along with any other relevant facts when deciding whether or not to hear the case.</w:t>
      </w:r>
      <w:r w:rsidRPr="007C4B78">
        <w:rPr>
          <w:rStyle w:val="FootnoteReference"/>
          <w:rFonts w:asciiTheme="majorHAnsi" w:eastAsia="Calibri" w:hAnsiTheme="majorHAnsi"/>
        </w:rPr>
        <w:footnoteReference w:id="263"/>
      </w:r>
      <w:r w:rsidRPr="007C4B78">
        <w:rPr>
          <w:rFonts w:asciiTheme="majorHAnsi" w:eastAsia="Calibri" w:hAnsiTheme="majorHAnsi"/>
        </w:rPr>
        <w:t xml:space="preserve"> The child must also consent to the court hearing the case. </w:t>
      </w:r>
      <w:r w:rsidRPr="007C4B78">
        <w:rPr>
          <w:rStyle w:val="FootnoteReference"/>
          <w:rFonts w:asciiTheme="majorHAnsi" w:eastAsia="Calibri" w:hAnsiTheme="majorHAnsi"/>
        </w:rPr>
        <w:footnoteReference w:id="264"/>
      </w:r>
    </w:p>
    <w:p w14:paraId="43175CDA" w14:textId="77777777" w:rsidR="0043430B" w:rsidRPr="007C4B78" w:rsidRDefault="0043430B" w:rsidP="004D12C3">
      <w:pPr>
        <w:jc w:val="both"/>
        <w:rPr>
          <w:rFonts w:asciiTheme="majorHAnsi" w:eastAsia="Calibri" w:hAnsiTheme="majorHAnsi"/>
        </w:rPr>
      </w:pPr>
    </w:p>
    <w:p w14:paraId="7252014B" w14:textId="77777777" w:rsidR="0043430B" w:rsidRPr="007C4B78" w:rsidRDefault="0043430B" w:rsidP="004D12C3">
      <w:pPr>
        <w:jc w:val="both"/>
        <w:rPr>
          <w:rFonts w:asciiTheme="majorHAnsi" w:eastAsia="Calibri" w:hAnsiTheme="majorHAnsi"/>
        </w:rPr>
      </w:pPr>
      <w:r w:rsidRPr="007C4B78">
        <w:rPr>
          <w:rFonts w:asciiTheme="majorHAnsi" w:eastAsia="Calibri" w:hAnsiTheme="majorHAnsi"/>
        </w:rPr>
        <w:t>A person is deemed unfit to stand trial if he or she is unable to understand the proceedings “by reason of mental disorder.”</w:t>
      </w:r>
      <w:r w:rsidRPr="007C4B78">
        <w:rPr>
          <w:rStyle w:val="FootnoteReference"/>
          <w:rFonts w:asciiTheme="majorHAnsi" w:eastAsia="Calibri" w:hAnsiTheme="majorHAnsi"/>
        </w:rPr>
        <w:footnoteReference w:id="265"/>
      </w:r>
      <w:r w:rsidRPr="007C4B78">
        <w:rPr>
          <w:rFonts w:asciiTheme="majorHAnsi" w:eastAsia="Calibri" w:hAnsiTheme="majorHAnsi"/>
        </w:rPr>
        <w:t xml:space="preserve"> A person may also be found not guilty if a jury finds after testimony is given by a consultant psychiatrist that the alleged offender had a “mental disorder” and because of that the alleged offender did not know the nature and quality of the act or did not know the wrongness of the act or was unable to refrain from committing the act.</w:t>
      </w:r>
      <w:r w:rsidRPr="007C4B78">
        <w:rPr>
          <w:rStyle w:val="FootnoteReference"/>
          <w:rFonts w:asciiTheme="majorHAnsi" w:eastAsia="Calibri" w:hAnsiTheme="majorHAnsi"/>
        </w:rPr>
        <w:footnoteReference w:id="266"/>
      </w:r>
      <w:r w:rsidRPr="007C4B78">
        <w:rPr>
          <w:rFonts w:asciiTheme="majorHAnsi" w:eastAsia="Calibri" w:hAnsiTheme="majorHAnsi"/>
        </w:rPr>
        <w:t xml:space="preserve">  Mental disorder is defined under the law as “mental illness, mental disability, dementia or any disease of the mind (not intoxication).</w:t>
      </w:r>
      <w:r w:rsidRPr="007C4B78">
        <w:rPr>
          <w:rStyle w:val="FootnoteReference"/>
          <w:rFonts w:asciiTheme="majorHAnsi" w:eastAsia="Calibri" w:hAnsiTheme="majorHAnsi"/>
        </w:rPr>
        <w:footnoteReference w:id="267"/>
      </w:r>
      <w:r w:rsidRPr="007C4B78">
        <w:rPr>
          <w:rFonts w:asciiTheme="majorHAnsi" w:eastAsia="Calibri" w:hAnsiTheme="majorHAnsi"/>
        </w:rPr>
        <w:t xml:space="preserve">There is no difference in treatment under this law between adults and children. </w:t>
      </w:r>
    </w:p>
    <w:p w14:paraId="4F087BE1" w14:textId="77777777" w:rsidR="0043430B" w:rsidRPr="007C4B78" w:rsidRDefault="0043430B" w:rsidP="004D12C3">
      <w:pPr>
        <w:jc w:val="both"/>
        <w:rPr>
          <w:rFonts w:asciiTheme="majorHAnsi" w:eastAsia="Calibri" w:hAnsiTheme="majorHAnsi"/>
        </w:rPr>
      </w:pPr>
    </w:p>
    <w:p w14:paraId="1385344B" w14:textId="77777777" w:rsidR="0043430B" w:rsidRPr="007C4B78" w:rsidRDefault="0043430B" w:rsidP="004D12C3">
      <w:pPr>
        <w:jc w:val="both"/>
        <w:rPr>
          <w:rFonts w:asciiTheme="majorHAnsi" w:eastAsia="Calibri" w:hAnsiTheme="majorHAnsi"/>
        </w:rPr>
      </w:pPr>
      <w:r w:rsidRPr="007C4B78">
        <w:rPr>
          <w:rFonts w:asciiTheme="majorHAnsi" w:eastAsia="Calibri" w:hAnsiTheme="majorHAnsi"/>
        </w:rPr>
        <w:t xml:space="preserve">In 2006, the last year for which such data is available, 13,092 juveniles had formal contact with law enforcement in Ireland. </w:t>
      </w:r>
      <w:r w:rsidRPr="007C4B78">
        <w:rPr>
          <w:rStyle w:val="FootnoteReference"/>
          <w:rFonts w:asciiTheme="majorHAnsi" w:eastAsia="Calibri" w:hAnsiTheme="majorHAnsi"/>
        </w:rPr>
        <w:footnoteReference w:id="268"/>
      </w:r>
      <w:r w:rsidR="001355A9" w:rsidRPr="007C4B78">
        <w:rPr>
          <w:rFonts w:asciiTheme="majorHAnsi" w:eastAsia="Calibri" w:hAnsiTheme="majorHAnsi"/>
        </w:rPr>
        <w:t xml:space="preserve"> This data is not disaggregated further so the extent of formal contact between children with cognitive disabilities and law enforcement in Ireland is unknown.</w:t>
      </w:r>
    </w:p>
    <w:p w14:paraId="7833D4A5" w14:textId="77777777" w:rsidR="0043430B" w:rsidRPr="007C4B78" w:rsidRDefault="0043430B" w:rsidP="004D12C3">
      <w:pPr>
        <w:jc w:val="both"/>
        <w:rPr>
          <w:rFonts w:asciiTheme="majorHAnsi" w:eastAsia="Calibri" w:hAnsiTheme="majorHAnsi"/>
        </w:rPr>
      </w:pPr>
    </w:p>
    <w:p w14:paraId="7771AF01" w14:textId="77777777" w:rsidR="0043430B" w:rsidRPr="007C4B78" w:rsidRDefault="0043430B" w:rsidP="004D12C3">
      <w:pPr>
        <w:jc w:val="both"/>
        <w:rPr>
          <w:rFonts w:asciiTheme="majorHAnsi" w:eastAsia="Calibri" w:hAnsiTheme="majorHAnsi"/>
        </w:rPr>
      </w:pPr>
      <w:r w:rsidRPr="007C4B78">
        <w:rPr>
          <w:rFonts w:asciiTheme="majorHAnsi" w:eastAsia="Calibri" w:hAnsiTheme="majorHAnsi"/>
        </w:rPr>
        <w:t xml:space="preserve">It is important to note that the video link and intermediary procedures available to children and adults with </w:t>
      </w:r>
      <w:r w:rsidR="00CF0F5B" w:rsidRPr="007C4B78">
        <w:rPr>
          <w:rFonts w:asciiTheme="majorHAnsi" w:eastAsia="Calibri" w:hAnsiTheme="majorHAnsi"/>
        </w:rPr>
        <w:t>cognitive disabilities</w:t>
      </w:r>
      <w:r w:rsidRPr="007C4B78">
        <w:rPr>
          <w:rFonts w:asciiTheme="majorHAnsi" w:eastAsia="Calibri" w:hAnsiTheme="majorHAnsi"/>
        </w:rPr>
        <w:t xml:space="preserve"> who are witnesses are not available to alleged offenders. Alleged offenders </w:t>
      </w:r>
      <w:r w:rsidR="00971372" w:rsidRPr="007C4B78">
        <w:rPr>
          <w:rFonts w:asciiTheme="majorHAnsi" w:eastAsia="Calibri" w:hAnsiTheme="majorHAnsi"/>
        </w:rPr>
        <w:t>are also not entitled to</w:t>
      </w:r>
      <w:r w:rsidRPr="007C4B78">
        <w:rPr>
          <w:rFonts w:asciiTheme="majorHAnsi" w:eastAsia="Calibri" w:hAnsiTheme="majorHAnsi"/>
        </w:rPr>
        <w:t xml:space="preserve"> a guardian ad litem.</w:t>
      </w:r>
      <w:r w:rsidR="00971372" w:rsidRPr="007C4B78">
        <w:rPr>
          <w:rFonts w:asciiTheme="majorHAnsi" w:eastAsia="Calibri" w:hAnsiTheme="majorHAnsi"/>
        </w:rPr>
        <w:t xml:space="preserve"> This demonstrates the disparity in approach between victims, witnesses and offenders who are children with cognitive disabilities in Ireland.</w:t>
      </w:r>
    </w:p>
    <w:p w14:paraId="5F53BD4F" w14:textId="77777777" w:rsidR="0043430B" w:rsidRPr="007C4B78" w:rsidRDefault="0043430B" w:rsidP="004D12C3">
      <w:pPr>
        <w:jc w:val="both"/>
        <w:rPr>
          <w:rFonts w:asciiTheme="majorHAnsi" w:eastAsia="Calibri" w:hAnsiTheme="majorHAnsi"/>
        </w:rPr>
      </w:pPr>
    </w:p>
    <w:p w14:paraId="2A927AF5" w14:textId="77777777" w:rsidR="00ED476B" w:rsidRPr="007C4B78" w:rsidRDefault="00ED476B" w:rsidP="004D12C3">
      <w:pPr>
        <w:pStyle w:val="Heading3"/>
        <w:jc w:val="both"/>
      </w:pPr>
      <w:bookmarkStart w:id="45" w:name="_Toc417303171"/>
      <w:r w:rsidRPr="007C4B78">
        <w:t>Children in Detention in the Criminal Justice System</w:t>
      </w:r>
      <w:bookmarkEnd w:id="45"/>
    </w:p>
    <w:p w14:paraId="5083DB20" w14:textId="77777777" w:rsidR="002210AB" w:rsidRPr="007C4B78" w:rsidRDefault="002210AB" w:rsidP="004D12C3">
      <w:pPr>
        <w:pStyle w:val="Heading4"/>
        <w:jc w:val="both"/>
      </w:pPr>
      <w:r w:rsidRPr="007C4B78">
        <w:t>Relevant Laws and Policies</w:t>
      </w:r>
    </w:p>
    <w:p w14:paraId="6D7A3775" w14:textId="77777777" w:rsidR="0043430B" w:rsidRPr="007C4B78" w:rsidRDefault="00177D4E" w:rsidP="004D12C3">
      <w:pPr>
        <w:jc w:val="both"/>
        <w:rPr>
          <w:rFonts w:asciiTheme="majorHAnsi" w:eastAsia="Calibri" w:hAnsiTheme="majorHAnsi"/>
        </w:rPr>
      </w:pPr>
      <w:r w:rsidRPr="007C4B78">
        <w:rPr>
          <w:rFonts w:asciiTheme="majorHAnsi" w:eastAsia="Calibri" w:hAnsiTheme="majorHAnsi"/>
        </w:rPr>
        <w:t>The Children Act 2001 requires that c</w:t>
      </w:r>
      <w:r w:rsidR="0043430B" w:rsidRPr="007C4B78">
        <w:rPr>
          <w:rFonts w:asciiTheme="majorHAnsi" w:eastAsia="Calibri" w:hAnsiTheme="majorHAnsi"/>
        </w:rPr>
        <w:t>hildren detained in a</w:t>
      </w:r>
      <w:r w:rsidR="004F224B" w:rsidRPr="007C4B78">
        <w:rPr>
          <w:rFonts w:asciiTheme="majorHAnsi" w:eastAsia="Calibri" w:hAnsiTheme="majorHAnsi"/>
        </w:rPr>
        <w:t xml:space="preserve"> Garda</w:t>
      </w:r>
      <w:r w:rsidR="0043430B" w:rsidRPr="007C4B78">
        <w:rPr>
          <w:rFonts w:asciiTheme="majorHAnsi" w:eastAsia="Calibri" w:hAnsiTheme="majorHAnsi"/>
        </w:rPr>
        <w:t xml:space="preserve"> station</w:t>
      </w:r>
      <w:r w:rsidRPr="007C4B78">
        <w:rPr>
          <w:rFonts w:asciiTheme="majorHAnsi" w:eastAsia="Calibri" w:hAnsiTheme="majorHAnsi"/>
        </w:rPr>
        <w:t xml:space="preserve"> should </w:t>
      </w:r>
      <w:r w:rsidR="0043430B" w:rsidRPr="007C4B78">
        <w:rPr>
          <w:rFonts w:asciiTheme="majorHAnsi" w:eastAsia="Calibri" w:hAnsiTheme="majorHAnsi"/>
        </w:rPr>
        <w:t>be kept away from detained adults unless there is no other secure accommodation available.</w:t>
      </w:r>
      <w:r w:rsidR="0043430B" w:rsidRPr="007C4B78">
        <w:rPr>
          <w:rStyle w:val="FootnoteReference"/>
          <w:rFonts w:asciiTheme="majorHAnsi" w:eastAsia="Calibri" w:hAnsiTheme="majorHAnsi"/>
        </w:rPr>
        <w:footnoteReference w:id="269"/>
      </w:r>
    </w:p>
    <w:p w14:paraId="04AE85BC" w14:textId="77777777" w:rsidR="0043430B" w:rsidRPr="007C4B78" w:rsidRDefault="0043430B" w:rsidP="004D12C3">
      <w:pPr>
        <w:jc w:val="both"/>
        <w:rPr>
          <w:rFonts w:asciiTheme="majorHAnsi" w:eastAsia="Calibri" w:hAnsiTheme="majorHAnsi"/>
        </w:rPr>
      </w:pPr>
    </w:p>
    <w:p w14:paraId="364D2516" w14:textId="77777777" w:rsidR="0043430B" w:rsidRPr="007C4B78" w:rsidRDefault="0043430B" w:rsidP="004D12C3">
      <w:pPr>
        <w:jc w:val="both"/>
        <w:rPr>
          <w:rFonts w:asciiTheme="majorHAnsi" w:eastAsia="Calibri" w:hAnsiTheme="majorHAnsi"/>
        </w:rPr>
      </w:pPr>
      <w:r w:rsidRPr="007C4B78">
        <w:rPr>
          <w:rFonts w:asciiTheme="majorHAnsi" w:eastAsia="Calibri" w:hAnsiTheme="majorHAnsi"/>
        </w:rPr>
        <w:t>When a court has imposed a period of detention on a child under 1</w:t>
      </w:r>
      <w:r w:rsidR="000E5482" w:rsidRPr="007C4B78">
        <w:rPr>
          <w:rFonts w:asciiTheme="majorHAnsi" w:eastAsia="Calibri" w:hAnsiTheme="majorHAnsi"/>
        </w:rPr>
        <w:t>8</w:t>
      </w:r>
      <w:r w:rsidRPr="007C4B78">
        <w:rPr>
          <w:rFonts w:asciiTheme="majorHAnsi" w:eastAsia="Calibri" w:hAnsiTheme="majorHAnsi"/>
        </w:rPr>
        <w:t xml:space="preserve">, the child will be detained </w:t>
      </w:r>
      <w:r w:rsidR="000E5482" w:rsidRPr="007C4B78">
        <w:rPr>
          <w:rFonts w:asciiTheme="majorHAnsi" w:eastAsia="Calibri" w:hAnsiTheme="majorHAnsi"/>
        </w:rPr>
        <w:t>at the Oberstown Children Detention Campus or in Wheatfield Prison (for boys age 17 committed to detention)</w:t>
      </w:r>
      <w:r w:rsidRPr="007C4B78">
        <w:rPr>
          <w:rFonts w:asciiTheme="majorHAnsi" w:eastAsia="Calibri" w:hAnsiTheme="majorHAnsi"/>
        </w:rPr>
        <w:t>.</w:t>
      </w:r>
      <w:r w:rsidRPr="007C4B78">
        <w:rPr>
          <w:rStyle w:val="FootnoteReference"/>
          <w:rFonts w:asciiTheme="majorHAnsi" w:eastAsia="Calibri" w:hAnsiTheme="majorHAnsi"/>
        </w:rPr>
        <w:footnoteReference w:id="270"/>
      </w:r>
      <w:r w:rsidR="000E5482" w:rsidRPr="007C4B78">
        <w:rPr>
          <w:rFonts w:asciiTheme="majorHAnsi" w:eastAsia="Calibri" w:hAnsiTheme="majorHAnsi"/>
        </w:rPr>
        <w:t xml:space="preserve"> It is government policy that all under 18 year olds will be detained facility at Oberstown (</w:t>
      </w:r>
      <w:r w:rsidR="00445112" w:rsidRPr="007C4B78">
        <w:rPr>
          <w:rFonts w:asciiTheme="majorHAnsi" w:eastAsia="Calibri" w:hAnsiTheme="majorHAnsi"/>
        </w:rPr>
        <w:t>formerly the Chi</w:t>
      </w:r>
      <w:r w:rsidR="000E5482" w:rsidRPr="007C4B78">
        <w:rPr>
          <w:rFonts w:asciiTheme="majorHAnsi" w:eastAsia="Calibri" w:hAnsiTheme="majorHAnsi"/>
        </w:rPr>
        <w:t>l</w:t>
      </w:r>
      <w:r w:rsidR="00445112" w:rsidRPr="007C4B78">
        <w:rPr>
          <w:rFonts w:asciiTheme="majorHAnsi" w:eastAsia="Calibri" w:hAnsiTheme="majorHAnsi"/>
        </w:rPr>
        <w:t>d</w:t>
      </w:r>
      <w:r w:rsidR="000E5482" w:rsidRPr="007C4B78">
        <w:rPr>
          <w:rFonts w:asciiTheme="majorHAnsi" w:eastAsia="Calibri" w:hAnsiTheme="majorHAnsi"/>
        </w:rPr>
        <w:t>ren Detention Schools) but in the interim some 17 year olds continue to be detained on remand in St Patrick’s Institution (when the cur</w:t>
      </w:r>
      <w:r w:rsidR="00445112" w:rsidRPr="007C4B78">
        <w:rPr>
          <w:rFonts w:asciiTheme="majorHAnsi" w:eastAsia="Calibri" w:hAnsiTheme="majorHAnsi"/>
        </w:rPr>
        <w:t xml:space="preserve">rent capacity of Oberstown has </w:t>
      </w:r>
      <w:r w:rsidR="000E5482" w:rsidRPr="007C4B78">
        <w:rPr>
          <w:rFonts w:asciiTheme="majorHAnsi" w:eastAsia="Calibri" w:hAnsiTheme="majorHAnsi"/>
        </w:rPr>
        <w:t>be</w:t>
      </w:r>
      <w:r w:rsidR="00445112" w:rsidRPr="007C4B78">
        <w:rPr>
          <w:rFonts w:asciiTheme="majorHAnsi" w:eastAsia="Calibri" w:hAnsiTheme="majorHAnsi"/>
        </w:rPr>
        <w:t>e</w:t>
      </w:r>
      <w:r w:rsidR="000E5482" w:rsidRPr="007C4B78">
        <w:rPr>
          <w:rFonts w:asciiTheme="majorHAnsi" w:eastAsia="Calibri" w:hAnsiTheme="majorHAnsi"/>
        </w:rPr>
        <w:t xml:space="preserve">n reached) or in Wheatfield Prison for boys sentenced to </w:t>
      </w:r>
      <w:r w:rsidR="000E5482" w:rsidRPr="007C4B78">
        <w:rPr>
          <w:rFonts w:asciiTheme="majorHAnsi" w:eastAsia="Calibri" w:hAnsiTheme="majorHAnsi"/>
        </w:rPr>
        <w:lastRenderedPageBreak/>
        <w:t xml:space="preserve">detention. </w:t>
      </w:r>
      <w:r w:rsidRPr="007C4B78">
        <w:rPr>
          <w:rFonts w:asciiTheme="majorHAnsi" w:eastAsia="Calibri" w:hAnsiTheme="majorHAnsi"/>
        </w:rPr>
        <w:t xml:space="preserve">The </w:t>
      </w:r>
      <w:r w:rsidR="001424F7" w:rsidRPr="007C4B78">
        <w:rPr>
          <w:rFonts w:asciiTheme="majorHAnsi" w:eastAsia="Calibri" w:hAnsiTheme="majorHAnsi"/>
        </w:rPr>
        <w:t xml:space="preserve">period </w:t>
      </w:r>
      <w:r w:rsidRPr="007C4B78">
        <w:rPr>
          <w:rFonts w:asciiTheme="majorHAnsi" w:eastAsia="Calibri" w:hAnsiTheme="majorHAnsi"/>
        </w:rPr>
        <w:t>of detention in a detention school cannot exceed what the term of imprisonment or detention for an adult would be.</w:t>
      </w:r>
      <w:r w:rsidRPr="007C4B78">
        <w:rPr>
          <w:rStyle w:val="FootnoteReference"/>
          <w:rFonts w:asciiTheme="majorHAnsi" w:eastAsia="Calibri" w:hAnsiTheme="majorHAnsi"/>
        </w:rPr>
        <w:footnoteReference w:id="271"/>
      </w:r>
    </w:p>
    <w:p w14:paraId="489481C7" w14:textId="77777777" w:rsidR="0043430B" w:rsidRPr="007C4B78" w:rsidRDefault="0043430B" w:rsidP="004D12C3">
      <w:pPr>
        <w:jc w:val="both"/>
        <w:rPr>
          <w:rFonts w:asciiTheme="majorHAnsi" w:eastAsia="Calibri" w:hAnsiTheme="majorHAnsi"/>
        </w:rPr>
      </w:pPr>
    </w:p>
    <w:p w14:paraId="04437F65" w14:textId="77777777" w:rsidR="0043430B" w:rsidRPr="007C4B78" w:rsidRDefault="0043430B" w:rsidP="004D12C3">
      <w:pPr>
        <w:jc w:val="both"/>
        <w:rPr>
          <w:rFonts w:asciiTheme="majorHAnsi" w:eastAsia="Calibri" w:hAnsiTheme="majorHAnsi"/>
        </w:rPr>
      </w:pPr>
      <w:r w:rsidRPr="007C4B78">
        <w:rPr>
          <w:rFonts w:asciiTheme="majorHAnsi" w:eastAsia="Calibri" w:hAnsiTheme="majorHAnsi"/>
        </w:rPr>
        <w:t>Court service reports show that 100% of orders for committal to detention schools made by the Children’s Court in 2005 and 2006 were granted.</w:t>
      </w:r>
      <w:r w:rsidRPr="007C4B78">
        <w:rPr>
          <w:rStyle w:val="FootnoteReference"/>
          <w:rFonts w:asciiTheme="majorHAnsi" w:eastAsia="Calibri" w:hAnsiTheme="majorHAnsi"/>
        </w:rPr>
        <w:footnoteReference w:id="272"/>
      </w:r>
      <w:r w:rsidRPr="007C4B78">
        <w:rPr>
          <w:rFonts w:asciiTheme="majorHAnsi" w:eastAsia="Calibri" w:hAnsiTheme="majorHAnsi"/>
        </w:rPr>
        <w:t xml:space="preserve"> In 2006 there were 136 children in places of detention and 1,492 people 17-21 were in prison or other places of detention.</w:t>
      </w:r>
      <w:r w:rsidRPr="007C4B78">
        <w:rPr>
          <w:rStyle w:val="FootnoteReference"/>
          <w:rFonts w:asciiTheme="majorHAnsi" w:eastAsia="Calibri" w:hAnsiTheme="majorHAnsi"/>
        </w:rPr>
        <w:footnoteReference w:id="273"/>
      </w:r>
      <w:r w:rsidR="00D248A7" w:rsidRPr="007C4B78">
        <w:rPr>
          <w:rFonts w:asciiTheme="majorHAnsi" w:eastAsia="Calibri" w:hAnsiTheme="majorHAnsi"/>
        </w:rPr>
        <w:t>Very little reference is made</w:t>
      </w:r>
      <w:r w:rsidRPr="007C4B78">
        <w:rPr>
          <w:rFonts w:asciiTheme="majorHAnsi" w:eastAsia="Calibri" w:hAnsiTheme="majorHAnsi"/>
        </w:rPr>
        <w:t xml:space="preserve"> in the policies of detention schools on the treatment of children with </w:t>
      </w:r>
      <w:r w:rsidR="00CF0F5B" w:rsidRPr="007C4B78">
        <w:rPr>
          <w:rFonts w:asciiTheme="majorHAnsi" w:eastAsia="Calibri" w:hAnsiTheme="majorHAnsi"/>
        </w:rPr>
        <w:t>cognitive disabilities</w:t>
      </w:r>
      <w:r w:rsidRPr="007C4B78">
        <w:rPr>
          <w:rFonts w:asciiTheme="majorHAnsi" w:eastAsia="Calibri" w:hAnsiTheme="majorHAnsi"/>
        </w:rPr>
        <w:t xml:space="preserve">.  The detention schools’ </w:t>
      </w:r>
      <w:r w:rsidRPr="007C4B78">
        <w:rPr>
          <w:rFonts w:asciiTheme="majorHAnsi" w:eastAsia="Calibri" w:hAnsiTheme="majorHAnsi"/>
          <w:i/>
        </w:rPr>
        <w:t>Safeguarding Policy</w:t>
      </w:r>
      <w:r w:rsidRPr="007C4B78">
        <w:rPr>
          <w:rFonts w:asciiTheme="majorHAnsi" w:eastAsia="Calibri" w:hAnsiTheme="majorHAnsi"/>
        </w:rPr>
        <w:t xml:space="preserve"> mentions disability only to say that children regardless of disability have the right to be protected from abuse.</w:t>
      </w:r>
      <w:r w:rsidRPr="007C4B78">
        <w:rPr>
          <w:rStyle w:val="FootnoteReference"/>
          <w:rFonts w:asciiTheme="majorHAnsi" w:eastAsia="Calibri" w:hAnsiTheme="majorHAnsi"/>
        </w:rPr>
        <w:footnoteReference w:id="274"/>
      </w:r>
    </w:p>
    <w:p w14:paraId="2C7AFFD6" w14:textId="77777777" w:rsidR="0043430B" w:rsidRPr="007C4B78" w:rsidRDefault="0043430B" w:rsidP="004D12C3">
      <w:pPr>
        <w:jc w:val="both"/>
        <w:rPr>
          <w:rFonts w:asciiTheme="majorHAnsi" w:eastAsia="Calibri" w:hAnsiTheme="majorHAnsi"/>
        </w:rPr>
      </w:pPr>
    </w:p>
    <w:p w14:paraId="05B58CC9" w14:textId="77777777" w:rsidR="0043430B" w:rsidRPr="007C4B78" w:rsidRDefault="00533B96" w:rsidP="004D12C3">
      <w:pPr>
        <w:jc w:val="both"/>
        <w:rPr>
          <w:rFonts w:asciiTheme="majorHAnsi" w:eastAsia="Calibri" w:hAnsiTheme="majorHAnsi"/>
        </w:rPr>
      </w:pPr>
      <w:r w:rsidRPr="007C4B78">
        <w:rPr>
          <w:rFonts w:asciiTheme="majorHAnsi" w:eastAsia="Calibri" w:hAnsiTheme="majorHAnsi"/>
        </w:rPr>
        <w:t>As of 7 January 2015 there were 38 boys and no girls held in the three schools.</w:t>
      </w:r>
      <w:r w:rsidRPr="007C4B78">
        <w:rPr>
          <w:rStyle w:val="FootnoteReference"/>
          <w:rFonts w:asciiTheme="majorHAnsi" w:eastAsia="Calibri" w:hAnsiTheme="majorHAnsi"/>
        </w:rPr>
        <w:footnoteReference w:id="275"/>
      </w:r>
      <w:r w:rsidR="0043430B" w:rsidRPr="007C4B78">
        <w:rPr>
          <w:rFonts w:asciiTheme="majorHAnsi" w:eastAsia="Calibri" w:hAnsiTheme="majorHAnsi"/>
        </w:rPr>
        <w:t xml:space="preserve"> The Office for the Inspector of Prisons (OIP) reported that there were 2, 16 year old children and 17, 17 year old children, in St Patrick’s</w:t>
      </w:r>
      <w:r w:rsidRPr="007C4B78">
        <w:rPr>
          <w:rFonts w:asciiTheme="majorHAnsi" w:eastAsia="Calibri" w:hAnsiTheme="majorHAnsi"/>
        </w:rPr>
        <w:t xml:space="preserve"> </w:t>
      </w:r>
      <w:r w:rsidR="009A321B" w:rsidRPr="007C4B78">
        <w:rPr>
          <w:rFonts w:asciiTheme="majorHAnsi" w:eastAsia="Calibri" w:hAnsiTheme="majorHAnsi"/>
        </w:rPr>
        <w:t>Institu</w:t>
      </w:r>
      <w:r w:rsidR="00411BBF" w:rsidRPr="007C4B78">
        <w:rPr>
          <w:rFonts w:asciiTheme="majorHAnsi" w:eastAsia="Calibri" w:hAnsiTheme="majorHAnsi"/>
        </w:rPr>
        <w:t>t</w:t>
      </w:r>
      <w:r w:rsidR="009A321B" w:rsidRPr="007C4B78">
        <w:rPr>
          <w:rFonts w:asciiTheme="majorHAnsi" w:eastAsia="Calibri" w:hAnsiTheme="majorHAnsi"/>
        </w:rPr>
        <w:t>ion</w:t>
      </w:r>
      <w:r w:rsidR="0043430B" w:rsidRPr="007C4B78">
        <w:rPr>
          <w:rFonts w:asciiTheme="majorHAnsi" w:eastAsia="Calibri" w:hAnsiTheme="majorHAnsi"/>
        </w:rPr>
        <w:t xml:space="preserve"> in June 2012.</w:t>
      </w:r>
      <w:r w:rsidR="003D732D" w:rsidRPr="007C4B78">
        <w:rPr>
          <w:rStyle w:val="FootnoteReference"/>
        </w:rPr>
        <w:footnoteReference w:id="276"/>
      </w:r>
      <w:r w:rsidR="00445112" w:rsidRPr="007C4B78">
        <w:rPr>
          <w:rFonts w:asciiTheme="majorHAnsi" w:eastAsia="Calibri" w:hAnsiTheme="majorHAnsi"/>
        </w:rPr>
        <w:t xml:space="preserve"> </w:t>
      </w:r>
      <w:r w:rsidR="0043430B" w:rsidRPr="007C4B78">
        <w:rPr>
          <w:rFonts w:asciiTheme="majorHAnsi" w:eastAsia="Calibri" w:hAnsiTheme="majorHAnsi"/>
        </w:rPr>
        <w:t>According to the Children’s Rights Alliance, the last 16 year old in St</w:t>
      </w:r>
      <w:r w:rsidR="00CB79D7" w:rsidRPr="007C4B78">
        <w:rPr>
          <w:rFonts w:asciiTheme="majorHAnsi" w:eastAsia="Calibri" w:hAnsiTheme="majorHAnsi"/>
        </w:rPr>
        <w:t>.</w:t>
      </w:r>
      <w:r w:rsidR="0043430B" w:rsidRPr="007C4B78">
        <w:rPr>
          <w:rFonts w:asciiTheme="majorHAnsi" w:eastAsia="Calibri" w:hAnsiTheme="majorHAnsi"/>
        </w:rPr>
        <w:t xml:space="preserve"> Patrick’s</w:t>
      </w:r>
      <w:r w:rsidR="00CB79D7" w:rsidRPr="007C4B78">
        <w:rPr>
          <w:rFonts w:asciiTheme="majorHAnsi" w:eastAsia="Calibri" w:hAnsiTheme="majorHAnsi"/>
        </w:rPr>
        <w:t xml:space="preserve"> Institution</w:t>
      </w:r>
      <w:r w:rsidR="0043430B" w:rsidRPr="007C4B78">
        <w:rPr>
          <w:rFonts w:asciiTheme="majorHAnsi" w:eastAsia="Calibri" w:hAnsiTheme="majorHAnsi"/>
        </w:rPr>
        <w:t xml:space="preserve"> was released in July 2012 and in August</w:t>
      </w:r>
      <w:r w:rsidR="009A321B" w:rsidRPr="007C4B78">
        <w:rPr>
          <w:rFonts w:asciiTheme="majorHAnsi" w:eastAsia="Calibri" w:hAnsiTheme="majorHAnsi"/>
        </w:rPr>
        <w:t xml:space="preserve"> 2014</w:t>
      </w:r>
      <w:r w:rsidR="0043430B" w:rsidRPr="007C4B78">
        <w:rPr>
          <w:rFonts w:asciiTheme="majorHAnsi" w:eastAsia="Calibri" w:hAnsiTheme="majorHAnsi"/>
        </w:rPr>
        <w:t>, there were 31 boys aged 17 years of age detained in St Patrick’s</w:t>
      </w:r>
      <w:r w:rsidR="002547E5" w:rsidRPr="007C4B78">
        <w:rPr>
          <w:rFonts w:asciiTheme="majorHAnsi" w:eastAsia="Calibri" w:hAnsiTheme="majorHAnsi"/>
        </w:rPr>
        <w:t xml:space="preserve"> Institution</w:t>
      </w:r>
      <w:r w:rsidR="0043430B" w:rsidRPr="007C4B78">
        <w:rPr>
          <w:rFonts w:asciiTheme="majorHAnsi" w:eastAsia="Calibri" w:hAnsiTheme="majorHAnsi"/>
        </w:rPr>
        <w:t xml:space="preserve"> – an increase from 21 boys the previous year. </w:t>
      </w:r>
      <w:r w:rsidR="002547E5" w:rsidRPr="007C4B78">
        <w:rPr>
          <w:rFonts w:asciiTheme="majorHAnsi" w:eastAsia="Calibri" w:hAnsiTheme="majorHAnsi"/>
        </w:rPr>
        <w:t>Very</w:t>
      </w:r>
      <w:r w:rsidRPr="007C4B78">
        <w:rPr>
          <w:rFonts w:asciiTheme="majorHAnsi" w:eastAsia="Calibri" w:hAnsiTheme="majorHAnsi"/>
        </w:rPr>
        <w:t xml:space="preserve"> </w:t>
      </w:r>
      <w:r w:rsidR="002547E5" w:rsidRPr="007C4B78">
        <w:rPr>
          <w:rFonts w:asciiTheme="majorHAnsi" w:eastAsia="Calibri" w:hAnsiTheme="majorHAnsi"/>
        </w:rPr>
        <w:t xml:space="preserve">little </w:t>
      </w:r>
      <w:r w:rsidR="0043430B" w:rsidRPr="007C4B78">
        <w:rPr>
          <w:rFonts w:asciiTheme="majorHAnsi" w:eastAsia="Calibri" w:hAnsiTheme="majorHAnsi"/>
        </w:rPr>
        <w:t>data</w:t>
      </w:r>
      <w:r w:rsidR="002547E5" w:rsidRPr="007C4B78">
        <w:rPr>
          <w:rFonts w:asciiTheme="majorHAnsi" w:eastAsia="Calibri" w:hAnsiTheme="majorHAnsi"/>
        </w:rPr>
        <w:t xml:space="preserve"> exists</w:t>
      </w:r>
      <w:r w:rsidR="0043430B" w:rsidRPr="007C4B78">
        <w:rPr>
          <w:rFonts w:asciiTheme="majorHAnsi" w:eastAsia="Calibri" w:hAnsiTheme="majorHAnsi"/>
        </w:rPr>
        <w:t xml:space="preserve"> on how children with </w:t>
      </w:r>
      <w:r w:rsidR="00CF0F5B" w:rsidRPr="007C4B78">
        <w:rPr>
          <w:rFonts w:asciiTheme="majorHAnsi" w:eastAsia="Calibri" w:hAnsiTheme="majorHAnsi"/>
        </w:rPr>
        <w:t>cognitive disabilities</w:t>
      </w:r>
      <w:r w:rsidRPr="007C4B78">
        <w:rPr>
          <w:rFonts w:asciiTheme="majorHAnsi" w:eastAsia="Calibri" w:hAnsiTheme="majorHAnsi"/>
        </w:rPr>
        <w:t xml:space="preserve"> </w:t>
      </w:r>
      <w:r w:rsidR="002547E5" w:rsidRPr="007C4B78">
        <w:rPr>
          <w:rFonts w:asciiTheme="majorHAnsi" w:eastAsia="Calibri" w:hAnsiTheme="majorHAnsi"/>
        </w:rPr>
        <w:t>are included in this system</w:t>
      </w:r>
      <w:r w:rsidR="0043430B" w:rsidRPr="007C4B78">
        <w:rPr>
          <w:rFonts w:asciiTheme="majorHAnsi" w:eastAsia="Calibri" w:hAnsiTheme="majorHAnsi"/>
        </w:rPr>
        <w:t xml:space="preserve">.  One small study </w:t>
      </w:r>
      <w:r w:rsidR="00245C05" w:rsidRPr="007C4B78">
        <w:rPr>
          <w:rFonts w:asciiTheme="majorHAnsi" w:eastAsia="Calibri" w:hAnsiTheme="majorHAnsi"/>
        </w:rPr>
        <w:t>involving 30 boys in detention centres stated</w:t>
      </w:r>
      <w:r w:rsidR="0043430B" w:rsidRPr="007C4B78">
        <w:rPr>
          <w:rFonts w:asciiTheme="majorHAnsi" w:eastAsia="Calibri" w:hAnsiTheme="majorHAnsi"/>
        </w:rPr>
        <w:t xml:space="preserve"> that 37 percent</w:t>
      </w:r>
      <w:r w:rsidR="0043430B" w:rsidRPr="007C4B78">
        <w:rPr>
          <w:rStyle w:val="FootnoteReference"/>
          <w:rFonts w:asciiTheme="majorHAnsi" w:eastAsia="Calibri" w:hAnsiTheme="majorHAnsi"/>
        </w:rPr>
        <w:footnoteReference w:id="277"/>
      </w:r>
      <w:r w:rsidR="0043430B" w:rsidRPr="007C4B78">
        <w:rPr>
          <w:rFonts w:asciiTheme="majorHAnsi" w:eastAsia="Calibri" w:hAnsiTheme="majorHAnsi"/>
        </w:rPr>
        <w:t xml:space="preserve"> of the young offenders in the study group had a “psychological disorder” and 21 percent had an intellectual disability</w:t>
      </w:r>
      <w:r w:rsidR="00634341" w:rsidRPr="007C4B78">
        <w:rPr>
          <w:rFonts w:asciiTheme="majorHAnsi" w:eastAsia="Calibri" w:hAnsiTheme="majorHAnsi"/>
        </w:rPr>
        <w:t>.</w:t>
      </w:r>
      <w:r w:rsidR="0043430B" w:rsidRPr="007C4B78">
        <w:rPr>
          <w:rStyle w:val="FootnoteReference"/>
          <w:rFonts w:asciiTheme="majorHAnsi" w:eastAsia="Calibri" w:hAnsiTheme="majorHAnsi"/>
        </w:rPr>
        <w:footnoteReference w:id="278"/>
      </w:r>
    </w:p>
    <w:p w14:paraId="20E6BEE8" w14:textId="77777777" w:rsidR="0043430B" w:rsidRPr="007C4B78" w:rsidRDefault="0043430B" w:rsidP="004D12C3">
      <w:pPr>
        <w:jc w:val="both"/>
        <w:rPr>
          <w:rFonts w:asciiTheme="majorHAnsi" w:eastAsia="Calibri" w:hAnsiTheme="majorHAnsi"/>
        </w:rPr>
      </w:pPr>
    </w:p>
    <w:p w14:paraId="4F36937C" w14:textId="77777777" w:rsidR="0043430B" w:rsidRPr="007C4B78" w:rsidRDefault="0043430B" w:rsidP="004D12C3">
      <w:pPr>
        <w:jc w:val="both"/>
        <w:rPr>
          <w:rFonts w:asciiTheme="majorHAnsi" w:eastAsia="Calibri" w:hAnsiTheme="majorHAnsi"/>
        </w:rPr>
      </w:pPr>
      <w:r w:rsidRPr="007C4B78">
        <w:rPr>
          <w:rFonts w:asciiTheme="majorHAnsi" w:eastAsia="Calibri" w:hAnsiTheme="majorHAnsi"/>
        </w:rPr>
        <w:t>According to the 2010 Annual Report of the Irish Youth Justice Service (IYJS) the IYJS is working with the HSE to “enhance services available to children in detention”.</w:t>
      </w:r>
      <w:r w:rsidRPr="007C4B78">
        <w:rPr>
          <w:rStyle w:val="FootnoteReference"/>
          <w:rFonts w:asciiTheme="majorHAnsi" w:eastAsia="Calibri" w:hAnsiTheme="majorHAnsi"/>
        </w:rPr>
        <w:footnoteReference w:id="279"/>
      </w:r>
      <w:r w:rsidRPr="007C4B78">
        <w:rPr>
          <w:rFonts w:asciiTheme="majorHAnsi" w:eastAsia="Calibri" w:hAnsiTheme="majorHAnsi"/>
        </w:rPr>
        <w:t xml:space="preserve"> </w:t>
      </w:r>
      <w:r w:rsidR="00533B96" w:rsidRPr="007C4B78">
        <w:rPr>
          <w:rFonts w:asciiTheme="majorHAnsi" w:eastAsia="Calibri" w:hAnsiTheme="majorHAnsi"/>
        </w:rPr>
        <w:t>Child and mental health services are now avail</w:t>
      </w:r>
      <w:r w:rsidR="00411BBF" w:rsidRPr="007C4B78">
        <w:rPr>
          <w:rFonts w:asciiTheme="majorHAnsi" w:eastAsia="Calibri" w:hAnsiTheme="majorHAnsi"/>
        </w:rPr>
        <w:t>a</w:t>
      </w:r>
      <w:r w:rsidR="00533B96" w:rsidRPr="007C4B78">
        <w:rPr>
          <w:rFonts w:asciiTheme="majorHAnsi" w:eastAsia="Calibri" w:hAnsiTheme="majorHAnsi"/>
        </w:rPr>
        <w:t>ble on site to children in detention schools with no waiting list.</w:t>
      </w:r>
      <w:r w:rsidR="00533B96" w:rsidRPr="007C4B78">
        <w:rPr>
          <w:rStyle w:val="FootnoteReference"/>
          <w:rFonts w:asciiTheme="majorHAnsi" w:eastAsia="Calibri" w:hAnsiTheme="majorHAnsi"/>
        </w:rPr>
        <w:footnoteReference w:id="280"/>
      </w:r>
    </w:p>
    <w:p w14:paraId="7BC4E7A4" w14:textId="77777777" w:rsidR="0043430B" w:rsidRPr="007C4B78" w:rsidRDefault="0043430B" w:rsidP="004D12C3">
      <w:pPr>
        <w:jc w:val="both"/>
        <w:rPr>
          <w:rFonts w:asciiTheme="majorHAnsi" w:eastAsia="Calibri" w:hAnsiTheme="majorHAnsi"/>
        </w:rPr>
      </w:pPr>
    </w:p>
    <w:p w14:paraId="4BF7787C" w14:textId="77777777" w:rsidR="0043430B" w:rsidRPr="007C4B78" w:rsidRDefault="0043430B" w:rsidP="004D12C3">
      <w:pPr>
        <w:jc w:val="both"/>
        <w:rPr>
          <w:rFonts w:asciiTheme="majorHAnsi" w:eastAsia="Calibri" w:hAnsiTheme="majorHAnsi"/>
        </w:rPr>
      </w:pPr>
      <w:r w:rsidRPr="007C4B78">
        <w:rPr>
          <w:rFonts w:asciiTheme="majorHAnsi" w:eastAsia="Calibri" w:hAnsiTheme="majorHAnsi"/>
        </w:rPr>
        <w:t xml:space="preserve">According to a </w:t>
      </w:r>
      <w:r w:rsidR="001A5D76" w:rsidRPr="007C4B78">
        <w:rPr>
          <w:rFonts w:asciiTheme="majorHAnsi" w:eastAsia="Calibri" w:hAnsiTheme="majorHAnsi"/>
        </w:rPr>
        <w:t>c</w:t>
      </w:r>
      <w:r w:rsidRPr="007C4B78">
        <w:rPr>
          <w:rFonts w:asciiTheme="majorHAnsi" w:eastAsia="Calibri" w:hAnsiTheme="majorHAnsi"/>
        </w:rPr>
        <w:t xml:space="preserve">hild </w:t>
      </w:r>
      <w:r w:rsidR="001A5D76" w:rsidRPr="007C4B78">
        <w:rPr>
          <w:rFonts w:asciiTheme="majorHAnsi" w:eastAsia="Calibri" w:hAnsiTheme="majorHAnsi"/>
        </w:rPr>
        <w:t>r</w:t>
      </w:r>
      <w:r w:rsidRPr="007C4B78">
        <w:rPr>
          <w:rFonts w:asciiTheme="majorHAnsi" w:eastAsia="Calibri" w:hAnsiTheme="majorHAnsi"/>
        </w:rPr>
        <w:t xml:space="preserve">ights </w:t>
      </w:r>
      <w:r w:rsidR="001A5D76" w:rsidRPr="007C4B78">
        <w:rPr>
          <w:rFonts w:asciiTheme="majorHAnsi" w:eastAsia="Calibri" w:hAnsiTheme="majorHAnsi"/>
        </w:rPr>
        <w:t>e</w:t>
      </w:r>
      <w:r w:rsidRPr="007C4B78">
        <w:rPr>
          <w:rFonts w:asciiTheme="majorHAnsi" w:eastAsia="Calibri" w:hAnsiTheme="majorHAnsi"/>
        </w:rPr>
        <w:t>xpert</w:t>
      </w:r>
      <w:r w:rsidR="001A5D76" w:rsidRPr="007C4B78">
        <w:rPr>
          <w:rFonts w:asciiTheme="majorHAnsi" w:eastAsia="Calibri" w:hAnsiTheme="majorHAnsi"/>
        </w:rPr>
        <w:t xml:space="preserve"> interviewed for this project</w:t>
      </w:r>
      <w:r w:rsidRPr="007C4B78">
        <w:rPr>
          <w:rFonts w:asciiTheme="majorHAnsi" w:eastAsia="Calibri" w:hAnsiTheme="majorHAnsi"/>
        </w:rPr>
        <w:t>,</w:t>
      </w:r>
      <w:r w:rsidR="001A5D76" w:rsidRPr="007C4B78">
        <w:rPr>
          <w:rFonts w:asciiTheme="majorHAnsi" w:eastAsia="Calibri" w:hAnsiTheme="majorHAnsi"/>
        </w:rPr>
        <w:t xml:space="preserve"> the detention schools at</w:t>
      </w:r>
      <w:r w:rsidR="007B396E" w:rsidRPr="007C4B78">
        <w:rPr>
          <w:rFonts w:asciiTheme="majorHAnsi" w:eastAsia="Calibri" w:hAnsiTheme="majorHAnsi"/>
        </w:rPr>
        <w:t xml:space="preserve"> </w:t>
      </w:r>
      <w:r w:rsidRPr="007C4B78">
        <w:rPr>
          <w:rFonts w:asciiTheme="majorHAnsi" w:eastAsia="Calibri" w:hAnsiTheme="majorHAnsi"/>
        </w:rPr>
        <w:t>Oberstown</w:t>
      </w:r>
      <w:r w:rsidR="007B396E" w:rsidRPr="007C4B78">
        <w:rPr>
          <w:rFonts w:asciiTheme="majorHAnsi" w:eastAsia="Calibri" w:hAnsiTheme="majorHAnsi"/>
        </w:rPr>
        <w:t xml:space="preserve"> </w:t>
      </w:r>
      <w:r w:rsidR="001A5D76" w:rsidRPr="007C4B78">
        <w:rPr>
          <w:rFonts w:asciiTheme="majorHAnsi" w:eastAsia="Calibri" w:hAnsiTheme="majorHAnsi"/>
        </w:rPr>
        <w:t xml:space="preserve">are </w:t>
      </w:r>
      <w:r w:rsidRPr="007C4B78">
        <w:rPr>
          <w:rFonts w:asciiTheme="majorHAnsi" w:eastAsia="Calibri" w:hAnsiTheme="majorHAnsi"/>
        </w:rPr>
        <w:t xml:space="preserve">in the process of </w:t>
      </w:r>
      <w:r w:rsidR="001A5D76" w:rsidRPr="007C4B78">
        <w:rPr>
          <w:rFonts w:asciiTheme="majorHAnsi" w:eastAsia="Calibri" w:hAnsiTheme="majorHAnsi"/>
        </w:rPr>
        <w:t xml:space="preserve">making significant </w:t>
      </w:r>
      <w:r w:rsidRPr="007C4B78">
        <w:rPr>
          <w:rFonts w:asciiTheme="majorHAnsi" w:eastAsia="Calibri" w:hAnsiTheme="majorHAnsi"/>
        </w:rPr>
        <w:t>changes and some of those changes should greatly improve the level and quality of mental health services to children detained.</w:t>
      </w:r>
      <w:r w:rsidRPr="007C4B78">
        <w:rPr>
          <w:rStyle w:val="FootnoteReference"/>
          <w:rFonts w:asciiTheme="majorHAnsi" w:eastAsia="Calibri" w:hAnsiTheme="majorHAnsi"/>
        </w:rPr>
        <w:footnoteReference w:id="281"/>
      </w:r>
      <w:r w:rsidRPr="007C4B78">
        <w:rPr>
          <w:rFonts w:asciiTheme="majorHAnsi" w:hAnsiTheme="majorHAnsi"/>
        </w:rPr>
        <w:t xml:space="preserve">The whole campus is being rebuilt with more in-house clinical services designed for use by children. The new campus will also ensure that no 17 year olds are detained at </w:t>
      </w:r>
      <w:r w:rsidR="00464197" w:rsidRPr="007C4B78">
        <w:rPr>
          <w:rFonts w:asciiTheme="majorHAnsi" w:hAnsiTheme="majorHAnsi"/>
        </w:rPr>
        <w:t>St Patrick’s</w:t>
      </w:r>
      <w:r w:rsidRPr="007C4B78">
        <w:rPr>
          <w:rFonts w:asciiTheme="majorHAnsi" w:hAnsiTheme="majorHAnsi"/>
        </w:rPr>
        <w:t xml:space="preserve"> Institution.</w:t>
      </w:r>
      <w:r w:rsidRPr="007C4B78">
        <w:rPr>
          <w:rStyle w:val="FootnoteReference"/>
          <w:rFonts w:asciiTheme="majorHAnsi" w:hAnsiTheme="majorHAnsi"/>
        </w:rPr>
        <w:footnoteReference w:id="282"/>
      </w:r>
    </w:p>
    <w:p w14:paraId="6FD61B44" w14:textId="77777777" w:rsidR="0043430B" w:rsidRPr="007C4B78" w:rsidRDefault="0043430B" w:rsidP="004D12C3">
      <w:pPr>
        <w:pStyle w:val="Heading4"/>
        <w:jc w:val="both"/>
      </w:pPr>
      <w:r w:rsidRPr="007C4B78">
        <w:t>Maintaining Contact with Families while in Detention</w:t>
      </w:r>
    </w:p>
    <w:p w14:paraId="03E0E0F7" w14:textId="77777777" w:rsidR="0043430B" w:rsidRPr="007C4B78" w:rsidRDefault="0043430B" w:rsidP="004D12C3">
      <w:pPr>
        <w:jc w:val="both"/>
        <w:rPr>
          <w:rFonts w:asciiTheme="majorHAnsi" w:eastAsia="Calibri" w:hAnsiTheme="majorHAnsi"/>
        </w:rPr>
      </w:pPr>
      <w:r w:rsidRPr="007C4B78">
        <w:rPr>
          <w:rFonts w:asciiTheme="majorHAnsi" w:eastAsia="Calibri" w:hAnsiTheme="majorHAnsi"/>
        </w:rPr>
        <w:t xml:space="preserve">There are no specific laws in Ireland on this question of maintaining contact and the Irish Penal Reform Trust includes in its recommendations that the </w:t>
      </w:r>
      <w:r w:rsidR="009C58F4" w:rsidRPr="007C4B78">
        <w:rPr>
          <w:rFonts w:asciiTheme="majorHAnsi" w:eastAsia="Calibri" w:hAnsiTheme="majorHAnsi"/>
        </w:rPr>
        <w:t>S</w:t>
      </w:r>
      <w:r w:rsidRPr="007C4B78">
        <w:rPr>
          <w:rFonts w:asciiTheme="majorHAnsi" w:eastAsia="Calibri" w:hAnsiTheme="majorHAnsi"/>
        </w:rPr>
        <w:t xml:space="preserve">tate should ensure that detained children </w:t>
      </w:r>
      <w:proofErr w:type="gramStart"/>
      <w:r w:rsidRPr="007C4B78">
        <w:rPr>
          <w:rFonts w:asciiTheme="majorHAnsi" w:eastAsia="Calibri" w:hAnsiTheme="majorHAnsi"/>
        </w:rPr>
        <w:t>c</w:t>
      </w:r>
      <w:r w:rsidR="009C58F4" w:rsidRPr="007C4B78">
        <w:rPr>
          <w:rFonts w:asciiTheme="majorHAnsi" w:eastAsia="Calibri" w:hAnsiTheme="majorHAnsi"/>
        </w:rPr>
        <w:t>an</w:t>
      </w:r>
      <w:proofErr w:type="gramEnd"/>
      <w:r w:rsidRPr="007C4B78">
        <w:rPr>
          <w:rFonts w:asciiTheme="majorHAnsi" w:eastAsia="Calibri" w:hAnsiTheme="majorHAnsi"/>
        </w:rPr>
        <w:t xml:space="preserve"> keep in contact with family and friends and that provision should be made to facilitate family visits.</w:t>
      </w:r>
      <w:r w:rsidRPr="007C4B78">
        <w:rPr>
          <w:rStyle w:val="FootnoteReference"/>
          <w:rFonts w:asciiTheme="majorHAnsi" w:eastAsia="Calibri" w:hAnsiTheme="majorHAnsi"/>
        </w:rPr>
        <w:footnoteReference w:id="283"/>
      </w:r>
    </w:p>
    <w:p w14:paraId="65230E83" w14:textId="77777777" w:rsidR="0043430B" w:rsidRPr="007C4B78" w:rsidRDefault="0043430B" w:rsidP="004D12C3">
      <w:pPr>
        <w:jc w:val="both"/>
        <w:rPr>
          <w:rFonts w:asciiTheme="majorHAnsi" w:eastAsia="Calibri" w:hAnsiTheme="majorHAnsi"/>
        </w:rPr>
      </w:pPr>
    </w:p>
    <w:p w14:paraId="0CF0ACEE" w14:textId="77777777" w:rsidR="0043430B" w:rsidRPr="007C4B78" w:rsidRDefault="009C58F4" w:rsidP="004D12C3">
      <w:pPr>
        <w:jc w:val="both"/>
        <w:rPr>
          <w:rFonts w:asciiTheme="majorHAnsi" w:eastAsia="Calibri" w:hAnsiTheme="majorHAnsi"/>
          <w:u w:val="single"/>
        </w:rPr>
      </w:pPr>
      <w:r w:rsidRPr="007C4B78">
        <w:rPr>
          <w:rFonts w:asciiTheme="majorHAnsi" w:eastAsia="Calibri" w:hAnsiTheme="majorHAnsi"/>
        </w:rPr>
        <w:t>C</w:t>
      </w:r>
      <w:r w:rsidR="0043430B" w:rsidRPr="007C4B78">
        <w:rPr>
          <w:rFonts w:asciiTheme="majorHAnsi" w:eastAsia="Calibri" w:hAnsiTheme="majorHAnsi"/>
        </w:rPr>
        <w:t>hildren in detention can make complaints to the Ombudsman for Children.</w:t>
      </w:r>
      <w:r w:rsidR="0043430B" w:rsidRPr="007C4B78">
        <w:rPr>
          <w:rStyle w:val="FootnoteReference"/>
          <w:rFonts w:asciiTheme="majorHAnsi" w:eastAsia="Calibri" w:hAnsiTheme="majorHAnsi"/>
        </w:rPr>
        <w:footnoteReference w:id="284"/>
      </w:r>
      <w:r w:rsidRPr="007C4B78">
        <w:rPr>
          <w:rFonts w:asciiTheme="majorHAnsi" w:eastAsia="Calibri" w:hAnsiTheme="majorHAnsi"/>
        </w:rPr>
        <w:t xml:space="preserve"> T</w:t>
      </w:r>
      <w:r w:rsidR="0043430B" w:rsidRPr="007C4B78">
        <w:rPr>
          <w:rFonts w:asciiTheme="majorHAnsi" w:eastAsia="Calibri" w:hAnsiTheme="majorHAnsi"/>
        </w:rPr>
        <w:t xml:space="preserve">he Irish Youth Justice Service Standards require that </w:t>
      </w:r>
      <w:r w:rsidRPr="007C4B78">
        <w:rPr>
          <w:rFonts w:asciiTheme="majorHAnsi" w:eastAsia="Calibri" w:hAnsiTheme="majorHAnsi"/>
        </w:rPr>
        <w:t xml:space="preserve">detention </w:t>
      </w:r>
      <w:r w:rsidR="0043430B" w:rsidRPr="007C4B78">
        <w:rPr>
          <w:rFonts w:asciiTheme="majorHAnsi" w:eastAsia="Calibri" w:hAnsiTheme="majorHAnsi"/>
        </w:rPr>
        <w:t>school</w:t>
      </w:r>
      <w:r w:rsidRPr="007C4B78">
        <w:rPr>
          <w:rFonts w:asciiTheme="majorHAnsi" w:eastAsia="Calibri" w:hAnsiTheme="majorHAnsi"/>
        </w:rPr>
        <w:t>s</w:t>
      </w:r>
      <w:r w:rsidR="00464197" w:rsidRPr="007C4B78">
        <w:rPr>
          <w:rFonts w:asciiTheme="majorHAnsi" w:eastAsia="Calibri" w:hAnsiTheme="majorHAnsi"/>
        </w:rPr>
        <w:t>ha</w:t>
      </w:r>
      <w:r w:rsidRPr="007C4B78">
        <w:rPr>
          <w:rFonts w:asciiTheme="majorHAnsi" w:eastAsia="Calibri" w:hAnsiTheme="majorHAnsi"/>
        </w:rPr>
        <w:t>ve</w:t>
      </w:r>
      <w:r w:rsidR="0043430B" w:rsidRPr="007C4B78">
        <w:rPr>
          <w:rFonts w:asciiTheme="majorHAnsi" w:eastAsia="Calibri" w:hAnsiTheme="majorHAnsi"/>
        </w:rPr>
        <w:t xml:space="preserve"> a documented complaints procedure, which staff are aware of and is readily available in written format for young people.</w:t>
      </w:r>
      <w:r w:rsidR="0043430B" w:rsidRPr="007C4B78">
        <w:rPr>
          <w:rStyle w:val="FootnoteReference"/>
          <w:rFonts w:asciiTheme="majorHAnsi" w:eastAsia="Calibri" w:hAnsiTheme="majorHAnsi"/>
        </w:rPr>
        <w:footnoteReference w:id="285"/>
      </w:r>
      <w:r w:rsidRPr="007C4B78">
        <w:rPr>
          <w:rFonts w:asciiTheme="majorHAnsi" w:eastAsia="Calibri" w:hAnsiTheme="majorHAnsi"/>
        </w:rPr>
        <w:t xml:space="preserve"> However, the standards do not address the need for complaints mechanisms to be accessible for children with cognitive disabilities.</w:t>
      </w:r>
    </w:p>
    <w:p w14:paraId="0826EB2D" w14:textId="77777777" w:rsidR="0043430B" w:rsidRPr="007C4B78" w:rsidRDefault="0043430B" w:rsidP="004D12C3">
      <w:pPr>
        <w:jc w:val="both"/>
        <w:rPr>
          <w:rFonts w:asciiTheme="majorHAnsi" w:eastAsia="Calibri" w:hAnsiTheme="majorHAnsi"/>
        </w:rPr>
      </w:pPr>
    </w:p>
    <w:p w14:paraId="5818C01D" w14:textId="77777777" w:rsidR="0043430B" w:rsidRPr="007C4B78" w:rsidRDefault="0043430B" w:rsidP="004D12C3">
      <w:pPr>
        <w:jc w:val="both"/>
        <w:rPr>
          <w:rFonts w:asciiTheme="majorHAnsi" w:eastAsia="Calibri" w:hAnsiTheme="majorHAnsi"/>
        </w:rPr>
      </w:pPr>
      <w:r w:rsidRPr="007C4B78">
        <w:rPr>
          <w:rFonts w:asciiTheme="majorHAnsi" w:eastAsia="Calibri" w:hAnsiTheme="majorHAnsi"/>
        </w:rPr>
        <w:t>There are no laws in the criminal justice system in Ireland that provide for a routine assessment of disability at the outset of legal proceedings in criminal cases.  An expert on child rights</w:t>
      </w:r>
      <w:r w:rsidR="00EF4395" w:rsidRPr="007C4B78">
        <w:rPr>
          <w:rFonts w:asciiTheme="majorHAnsi" w:eastAsia="Calibri" w:hAnsiTheme="majorHAnsi"/>
        </w:rPr>
        <w:t xml:space="preserve"> interviewed for this project</w:t>
      </w:r>
      <w:r w:rsidRPr="007C4B78">
        <w:rPr>
          <w:rFonts w:asciiTheme="majorHAnsi" w:eastAsia="Calibri" w:hAnsiTheme="majorHAnsi"/>
        </w:rPr>
        <w:t xml:space="preserve"> stated, however</w:t>
      </w:r>
      <w:r w:rsidR="00464197" w:rsidRPr="007C4B78">
        <w:rPr>
          <w:rFonts w:asciiTheme="majorHAnsi" w:eastAsia="Calibri" w:hAnsiTheme="majorHAnsi"/>
        </w:rPr>
        <w:t>, that judges</w:t>
      </w:r>
      <w:r w:rsidRPr="007C4B78">
        <w:rPr>
          <w:rFonts w:asciiTheme="majorHAnsi" w:eastAsia="Calibri" w:hAnsiTheme="majorHAnsi"/>
        </w:rPr>
        <w:t xml:space="preserve"> often will request assessments and that </w:t>
      </w:r>
      <w:r w:rsidR="00EF4395" w:rsidRPr="007C4B78">
        <w:rPr>
          <w:rFonts w:asciiTheme="majorHAnsi" w:eastAsia="Calibri" w:hAnsiTheme="majorHAnsi"/>
        </w:rPr>
        <w:t xml:space="preserve">if assessments were routinely conducted </w:t>
      </w:r>
      <w:r w:rsidR="00FA1104" w:rsidRPr="007C4B78">
        <w:rPr>
          <w:rFonts w:asciiTheme="majorHAnsi" w:eastAsia="Calibri" w:hAnsiTheme="majorHAnsi"/>
        </w:rPr>
        <w:t>then many</w:t>
      </w:r>
      <w:r w:rsidRPr="007C4B78">
        <w:rPr>
          <w:rFonts w:asciiTheme="majorHAnsi" w:eastAsia="Calibri" w:hAnsiTheme="majorHAnsi"/>
        </w:rPr>
        <w:t xml:space="preserve"> children in detention would </w:t>
      </w:r>
      <w:r w:rsidR="00FA1104" w:rsidRPr="007C4B78">
        <w:rPr>
          <w:rFonts w:asciiTheme="majorHAnsi" w:eastAsia="Calibri" w:hAnsiTheme="majorHAnsi"/>
        </w:rPr>
        <w:t xml:space="preserve">be identified as </w:t>
      </w:r>
      <w:r w:rsidRPr="007C4B78">
        <w:rPr>
          <w:rFonts w:asciiTheme="majorHAnsi" w:eastAsia="Calibri" w:hAnsiTheme="majorHAnsi"/>
        </w:rPr>
        <w:t>hav</w:t>
      </w:r>
      <w:r w:rsidR="00FA1104" w:rsidRPr="007C4B78">
        <w:rPr>
          <w:rFonts w:asciiTheme="majorHAnsi" w:eastAsia="Calibri" w:hAnsiTheme="majorHAnsi"/>
        </w:rPr>
        <w:t>ing</w:t>
      </w:r>
      <w:r w:rsidRPr="007C4B78">
        <w:rPr>
          <w:rFonts w:asciiTheme="majorHAnsi" w:eastAsia="Calibri" w:hAnsiTheme="majorHAnsi"/>
        </w:rPr>
        <w:t xml:space="preserve"> a </w:t>
      </w:r>
      <w:r w:rsidR="00654B52" w:rsidRPr="007C4B78">
        <w:rPr>
          <w:rFonts w:asciiTheme="majorHAnsi" w:eastAsia="Calibri" w:hAnsiTheme="majorHAnsi"/>
        </w:rPr>
        <w:t>cognitive disability</w:t>
      </w:r>
      <w:r w:rsidRPr="007C4B78">
        <w:rPr>
          <w:rFonts w:asciiTheme="majorHAnsi" w:eastAsia="Calibri" w:hAnsiTheme="majorHAnsi"/>
        </w:rPr>
        <w:t xml:space="preserve">. </w:t>
      </w:r>
      <w:r w:rsidRPr="007C4B78">
        <w:rPr>
          <w:rStyle w:val="FootnoteReference"/>
          <w:rFonts w:asciiTheme="majorHAnsi" w:eastAsia="Calibri" w:hAnsiTheme="majorHAnsi"/>
        </w:rPr>
        <w:footnoteReference w:id="286"/>
      </w:r>
    </w:p>
    <w:p w14:paraId="488EFD2A" w14:textId="77777777" w:rsidR="0043430B" w:rsidRPr="007C4B78" w:rsidRDefault="0043430B" w:rsidP="004D12C3">
      <w:pPr>
        <w:jc w:val="both"/>
        <w:rPr>
          <w:rFonts w:asciiTheme="majorHAnsi" w:hAnsiTheme="majorHAnsi"/>
        </w:rPr>
      </w:pPr>
    </w:p>
    <w:p w14:paraId="30930BED" w14:textId="77777777" w:rsidR="0043430B" w:rsidRPr="007C4B78" w:rsidRDefault="0043430B" w:rsidP="004D12C3">
      <w:pPr>
        <w:jc w:val="both"/>
        <w:rPr>
          <w:rFonts w:asciiTheme="majorHAnsi" w:eastAsia="Calibri" w:hAnsiTheme="majorHAnsi"/>
        </w:rPr>
      </w:pPr>
      <w:r w:rsidRPr="007C4B78">
        <w:rPr>
          <w:rFonts w:asciiTheme="majorHAnsi" w:eastAsia="Calibri" w:hAnsiTheme="majorHAnsi"/>
        </w:rPr>
        <w:t xml:space="preserve">Despite </w:t>
      </w:r>
      <w:r w:rsidR="00FA1104" w:rsidRPr="007C4B78">
        <w:rPr>
          <w:rFonts w:asciiTheme="majorHAnsi" w:eastAsia="Calibri" w:hAnsiTheme="majorHAnsi"/>
        </w:rPr>
        <w:t>Irish law</w:t>
      </w:r>
      <w:r w:rsidRPr="007C4B78">
        <w:rPr>
          <w:rFonts w:asciiTheme="majorHAnsi" w:eastAsia="Calibri" w:hAnsiTheme="majorHAnsi"/>
        </w:rPr>
        <w:t xml:space="preserve"> seeming</w:t>
      </w:r>
      <w:r w:rsidR="00FA1104" w:rsidRPr="007C4B78">
        <w:rPr>
          <w:rFonts w:asciiTheme="majorHAnsi" w:eastAsia="Calibri" w:hAnsiTheme="majorHAnsi"/>
        </w:rPr>
        <w:t xml:space="preserve"> to</w:t>
      </w:r>
      <w:r w:rsidRPr="007C4B78">
        <w:rPr>
          <w:rFonts w:asciiTheme="majorHAnsi" w:eastAsia="Calibri" w:hAnsiTheme="majorHAnsi"/>
        </w:rPr>
        <w:t xml:space="preserve"> provid</w:t>
      </w:r>
      <w:r w:rsidR="00FA1104" w:rsidRPr="007C4B78">
        <w:rPr>
          <w:rFonts w:asciiTheme="majorHAnsi" w:eastAsia="Calibri" w:hAnsiTheme="majorHAnsi"/>
        </w:rPr>
        <w:t>e</w:t>
      </w:r>
      <w:r w:rsidRPr="007C4B78">
        <w:rPr>
          <w:rFonts w:asciiTheme="majorHAnsi" w:eastAsia="Calibri" w:hAnsiTheme="majorHAnsi"/>
        </w:rPr>
        <w:t xml:space="preserve"> for</w:t>
      </w:r>
      <w:r w:rsidR="002304DD" w:rsidRPr="007C4B78">
        <w:rPr>
          <w:rFonts w:asciiTheme="majorHAnsi" w:eastAsia="Calibri" w:hAnsiTheme="majorHAnsi"/>
        </w:rPr>
        <w:t xml:space="preserve"> legal </w:t>
      </w:r>
      <w:r w:rsidRPr="007C4B78">
        <w:rPr>
          <w:rFonts w:asciiTheme="majorHAnsi" w:eastAsia="Calibri" w:hAnsiTheme="majorHAnsi"/>
        </w:rPr>
        <w:t xml:space="preserve">representation </w:t>
      </w:r>
      <w:r w:rsidR="00634341" w:rsidRPr="007C4B78">
        <w:rPr>
          <w:rFonts w:asciiTheme="majorHAnsi" w:eastAsia="Calibri" w:hAnsiTheme="majorHAnsi"/>
        </w:rPr>
        <w:t>of</w:t>
      </w:r>
      <w:r w:rsidRPr="007C4B78">
        <w:rPr>
          <w:rFonts w:asciiTheme="majorHAnsi" w:eastAsia="Calibri" w:hAnsiTheme="majorHAnsi"/>
        </w:rPr>
        <w:t xml:space="preserve"> children</w:t>
      </w:r>
      <w:r w:rsidR="00FA1104" w:rsidRPr="007C4B78">
        <w:rPr>
          <w:rFonts w:asciiTheme="majorHAnsi" w:eastAsia="Calibri" w:hAnsiTheme="majorHAnsi"/>
        </w:rPr>
        <w:t xml:space="preserve"> in criminal proceedings,</w:t>
      </w:r>
      <w:r w:rsidRPr="007C4B78">
        <w:rPr>
          <w:rFonts w:asciiTheme="majorHAnsi" w:eastAsia="Calibri" w:hAnsiTheme="majorHAnsi"/>
        </w:rPr>
        <w:t xml:space="preserve"> a 2005 report stated, “in practice, some young people are charged and sentenced without the help and support of a responsible and experienced adult, who could act as an advocate for their interests.”</w:t>
      </w:r>
      <w:r w:rsidRPr="007C4B78">
        <w:rPr>
          <w:rStyle w:val="FootnoteReference"/>
          <w:rFonts w:asciiTheme="majorHAnsi" w:eastAsia="Calibri" w:hAnsiTheme="majorHAnsi"/>
        </w:rPr>
        <w:footnoteReference w:id="287"/>
      </w:r>
      <w:r w:rsidR="007A64B9" w:rsidRPr="007C4B78">
        <w:rPr>
          <w:rFonts w:asciiTheme="majorHAnsi" w:eastAsia="Calibri" w:hAnsiTheme="majorHAnsi"/>
        </w:rPr>
        <w:t xml:space="preserve"> This situation occurs because of the distinction between the right to a lawyer at trial and during charge.</w:t>
      </w:r>
    </w:p>
    <w:p w14:paraId="143D4A82" w14:textId="77777777" w:rsidR="00641E77" w:rsidRPr="007C4B78" w:rsidRDefault="00641E77" w:rsidP="004D12C3">
      <w:pPr>
        <w:pStyle w:val="Heading3"/>
        <w:jc w:val="both"/>
      </w:pPr>
      <w:bookmarkStart w:id="46" w:name="_Toc417303172"/>
      <w:r w:rsidRPr="007C4B78">
        <w:lastRenderedPageBreak/>
        <w:t>Systems of Redress</w:t>
      </w:r>
      <w:r w:rsidR="00ED476B" w:rsidRPr="007C4B78">
        <w:t xml:space="preserve"> in the Criminal Justice System</w:t>
      </w:r>
      <w:bookmarkEnd w:id="46"/>
    </w:p>
    <w:p w14:paraId="0E6014AD" w14:textId="77777777" w:rsidR="002210AB" w:rsidRPr="007C4B78" w:rsidRDefault="002210AB" w:rsidP="004D12C3">
      <w:pPr>
        <w:pStyle w:val="Heading4"/>
        <w:jc w:val="both"/>
      </w:pPr>
      <w:r w:rsidRPr="007C4B78">
        <w:t>Garda Ombudsman Commission</w:t>
      </w:r>
    </w:p>
    <w:p w14:paraId="1705F436" w14:textId="77777777" w:rsidR="00641E77" w:rsidRPr="007C4B78" w:rsidRDefault="00641E77" w:rsidP="004D12C3">
      <w:pPr>
        <w:jc w:val="both"/>
        <w:rPr>
          <w:rFonts w:asciiTheme="majorHAnsi" w:eastAsia="Calibri" w:hAnsiTheme="majorHAnsi"/>
        </w:rPr>
      </w:pPr>
      <w:r w:rsidRPr="007C4B78">
        <w:rPr>
          <w:rFonts w:asciiTheme="majorHAnsi" w:eastAsia="Calibri" w:hAnsiTheme="majorHAnsi"/>
        </w:rPr>
        <w:t>Under the 2005Garda Síochána Act the Ombudsman Commission was established to receive complaints made by members of the public against members of the Garda.</w:t>
      </w:r>
      <w:r w:rsidRPr="007C4B78">
        <w:rPr>
          <w:rStyle w:val="FootnoteReference"/>
          <w:rFonts w:asciiTheme="majorHAnsi" w:eastAsia="Calibri" w:hAnsiTheme="majorHAnsi"/>
        </w:rPr>
        <w:footnoteReference w:id="288"/>
      </w:r>
      <w:r w:rsidRPr="007C4B78">
        <w:rPr>
          <w:rFonts w:asciiTheme="majorHAnsi" w:eastAsia="Calibri" w:hAnsiTheme="majorHAnsi"/>
        </w:rPr>
        <w:t xml:space="preserve"> Persons directly affected by the conduct or witnesses may bring complaints to the Ombudsman Commission or on behalf of someone with their written consent.</w:t>
      </w:r>
      <w:r w:rsidRPr="007C4B78">
        <w:rPr>
          <w:rStyle w:val="FootnoteReference"/>
          <w:rFonts w:asciiTheme="majorHAnsi" w:eastAsia="Calibri" w:hAnsiTheme="majorHAnsi"/>
        </w:rPr>
        <w:footnoteReference w:id="289"/>
      </w:r>
      <w:r w:rsidRPr="007C4B78">
        <w:rPr>
          <w:rFonts w:asciiTheme="majorHAnsi" w:eastAsia="Calibri" w:hAnsiTheme="majorHAnsi"/>
        </w:rPr>
        <w:t xml:space="preserve"> Complaints may also be made on behalf of children or persons with disabilities without their consent if they are “incapable of giving consent.” </w:t>
      </w:r>
      <w:r w:rsidRPr="007C4B78">
        <w:rPr>
          <w:rStyle w:val="FootnoteReference"/>
          <w:rFonts w:asciiTheme="majorHAnsi" w:eastAsia="Calibri" w:hAnsiTheme="majorHAnsi"/>
        </w:rPr>
        <w:footnoteReference w:id="290"/>
      </w:r>
    </w:p>
    <w:p w14:paraId="5A767A68" w14:textId="77777777" w:rsidR="00641E77" w:rsidRPr="007C4B78" w:rsidRDefault="00641E77" w:rsidP="004D12C3">
      <w:pPr>
        <w:jc w:val="both"/>
        <w:rPr>
          <w:rFonts w:asciiTheme="majorHAnsi" w:eastAsia="Calibri" w:hAnsiTheme="majorHAnsi"/>
        </w:rPr>
      </w:pPr>
    </w:p>
    <w:p w14:paraId="0E42C9DE" w14:textId="77777777" w:rsidR="00641E77" w:rsidRPr="007C4B78" w:rsidRDefault="00641E77" w:rsidP="004D12C3">
      <w:pPr>
        <w:jc w:val="both"/>
        <w:rPr>
          <w:rFonts w:asciiTheme="majorHAnsi" w:eastAsia="Calibri" w:hAnsiTheme="majorHAnsi"/>
        </w:rPr>
      </w:pPr>
      <w:r w:rsidRPr="007C4B78">
        <w:rPr>
          <w:rFonts w:asciiTheme="majorHAnsi" w:eastAsia="Calibri" w:hAnsiTheme="majorHAnsi"/>
        </w:rPr>
        <w:t>There have been 37 complaints of discrimination on the basis of disability made to the</w:t>
      </w:r>
      <w:r w:rsidR="006D601E" w:rsidRPr="007C4B78">
        <w:rPr>
          <w:rFonts w:asciiTheme="majorHAnsi" w:eastAsia="Calibri" w:hAnsiTheme="majorHAnsi"/>
        </w:rPr>
        <w:t xml:space="preserve"> Garda</w:t>
      </w:r>
      <w:r w:rsidRPr="007C4B78">
        <w:rPr>
          <w:rFonts w:asciiTheme="majorHAnsi" w:eastAsia="Calibri" w:hAnsiTheme="majorHAnsi"/>
        </w:rPr>
        <w:t xml:space="preserve"> Ombudsman between 2007 and 2012.</w:t>
      </w:r>
      <w:r w:rsidRPr="007C4B78">
        <w:rPr>
          <w:rStyle w:val="FootnoteReference"/>
          <w:rFonts w:asciiTheme="majorHAnsi" w:eastAsia="Calibri" w:hAnsiTheme="majorHAnsi"/>
        </w:rPr>
        <w:footnoteReference w:id="291"/>
      </w:r>
      <w:r w:rsidRPr="007C4B78">
        <w:rPr>
          <w:rFonts w:asciiTheme="majorHAnsi" w:eastAsia="Calibri" w:hAnsiTheme="majorHAnsi"/>
        </w:rPr>
        <w:t xml:space="preserve"> In 2012 only 2 percent of the complaints were from the 0-17 age group and 4 percent of complainants were described as persons with a psychological or intellectual disability.</w:t>
      </w:r>
      <w:r w:rsidRPr="007C4B78">
        <w:rPr>
          <w:rStyle w:val="FootnoteReference"/>
          <w:rFonts w:asciiTheme="majorHAnsi" w:eastAsia="Calibri" w:hAnsiTheme="majorHAnsi"/>
        </w:rPr>
        <w:footnoteReference w:id="292"/>
      </w:r>
      <w:r w:rsidRPr="007C4B78">
        <w:rPr>
          <w:rFonts w:asciiTheme="majorHAnsi" w:eastAsia="Calibri" w:hAnsiTheme="majorHAnsi"/>
        </w:rPr>
        <w:t xml:space="preserve"> The Ombudsman Commission has only started publishing case summaries as of May 2013 and none of the published cases concern children or people with disabilities.</w:t>
      </w:r>
      <w:r w:rsidRPr="007C4B78">
        <w:rPr>
          <w:rStyle w:val="FootnoteReference"/>
          <w:rFonts w:asciiTheme="majorHAnsi" w:eastAsia="Calibri" w:hAnsiTheme="majorHAnsi"/>
        </w:rPr>
        <w:footnoteReference w:id="293"/>
      </w:r>
    </w:p>
    <w:p w14:paraId="3346F435" w14:textId="77777777" w:rsidR="00641E77" w:rsidRPr="007C4B78" w:rsidRDefault="002210AB" w:rsidP="004D12C3">
      <w:pPr>
        <w:pStyle w:val="Heading4"/>
        <w:jc w:val="both"/>
      </w:pPr>
      <w:r w:rsidRPr="007C4B78">
        <w:t>General Ombudsman and Equality Tribunal</w:t>
      </w:r>
    </w:p>
    <w:p w14:paraId="441375B0" w14:textId="77777777" w:rsidR="00641E77" w:rsidRPr="007C4B78" w:rsidRDefault="00641E77" w:rsidP="004D12C3">
      <w:pPr>
        <w:jc w:val="both"/>
        <w:rPr>
          <w:rFonts w:asciiTheme="majorHAnsi" w:eastAsia="Calibri" w:hAnsiTheme="majorHAnsi"/>
        </w:rPr>
      </w:pPr>
      <w:r w:rsidRPr="007C4B78">
        <w:rPr>
          <w:rFonts w:asciiTheme="majorHAnsi" w:eastAsia="Calibri" w:hAnsiTheme="majorHAnsi"/>
        </w:rPr>
        <w:t>In addition to the Garda Ombudsman th</w:t>
      </w:r>
      <w:r w:rsidR="002210AB" w:rsidRPr="007C4B78">
        <w:rPr>
          <w:rFonts w:asciiTheme="majorHAnsi" w:eastAsia="Calibri" w:hAnsiTheme="majorHAnsi"/>
        </w:rPr>
        <w:t xml:space="preserve">ere is also a General Ombudsman. </w:t>
      </w:r>
      <w:r w:rsidRPr="007C4B78">
        <w:rPr>
          <w:rFonts w:asciiTheme="majorHAnsi" w:eastAsia="Calibri" w:hAnsiTheme="majorHAnsi"/>
        </w:rPr>
        <w:t xml:space="preserve">The General Ombudsman’s office has no published cases on discrimination complaints made by a child with </w:t>
      </w:r>
      <w:r w:rsidR="00CF0F5B" w:rsidRPr="007C4B78">
        <w:rPr>
          <w:rFonts w:asciiTheme="majorHAnsi" w:eastAsia="Calibri" w:hAnsiTheme="majorHAnsi"/>
        </w:rPr>
        <w:t>cognitive disabilities</w:t>
      </w:r>
      <w:r w:rsidRPr="007C4B78">
        <w:rPr>
          <w:rFonts w:asciiTheme="majorHAnsi" w:eastAsia="Calibri" w:hAnsiTheme="majorHAnsi"/>
        </w:rPr>
        <w:t xml:space="preserve"> against the DPP or Garda. </w:t>
      </w:r>
    </w:p>
    <w:p w14:paraId="3996B203" w14:textId="77777777" w:rsidR="00641E77" w:rsidRPr="007C4B78" w:rsidRDefault="00641E77" w:rsidP="004D12C3">
      <w:pPr>
        <w:jc w:val="both"/>
        <w:rPr>
          <w:rFonts w:asciiTheme="majorHAnsi" w:eastAsia="Calibri" w:hAnsiTheme="majorHAnsi"/>
        </w:rPr>
      </w:pPr>
    </w:p>
    <w:p w14:paraId="6537E518" w14:textId="77777777" w:rsidR="00641E77" w:rsidRPr="007C4B78" w:rsidRDefault="00641E77" w:rsidP="004D12C3">
      <w:pPr>
        <w:jc w:val="both"/>
        <w:rPr>
          <w:rFonts w:asciiTheme="majorHAnsi" w:eastAsia="Calibri" w:hAnsiTheme="majorHAnsi"/>
        </w:rPr>
      </w:pPr>
      <w:r w:rsidRPr="007C4B78">
        <w:rPr>
          <w:rFonts w:asciiTheme="majorHAnsi" w:eastAsia="Calibri" w:hAnsiTheme="majorHAnsi"/>
        </w:rPr>
        <w:t>Discrimination by the Garda</w:t>
      </w:r>
      <w:r w:rsidR="006D601E" w:rsidRPr="007C4B78">
        <w:rPr>
          <w:rFonts w:asciiTheme="majorHAnsi" w:eastAsia="Calibri" w:hAnsiTheme="majorHAnsi"/>
        </w:rPr>
        <w:t>í</w:t>
      </w:r>
      <w:r w:rsidRPr="007C4B78">
        <w:rPr>
          <w:rFonts w:asciiTheme="majorHAnsi" w:eastAsia="Calibri" w:hAnsiTheme="majorHAnsi"/>
        </w:rPr>
        <w:t xml:space="preserve"> against a child with disabilities could also be actionable under the Equal Status Act, which prohibits discrimination on account of disability.</w:t>
      </w:r>
      <w:r w:rsidRPr="007C4B78">
        <w:rPr>
          <w:rStyle w:val="FootnoteReference"/>
          <w:rFonts w:asciiTheme="majorHAnsi" w:eastAsia="Calibri" w:hAnsiTheme="majorHAnsi"/>
        </w:rPr>
        <w:footnoteReference w:id="294"/>
      </w:r>
      <w:r w:rsidRPr="007C4B78">
        <w:rPr>
          <w:rFonts w:asciiTheme="majorHAnsi" w:eastAsia="Calibri" w:hAnsiTheme="majorHAnsi"/>
        </w:rPr>
        <w:t xml:space="preserve"> The Equality Tribunal </w:t>
      </w:r>
      <w:r w:rsidR="006D601E" w:rsidRPr="007C4B78">
        <w:rPr>
          <w:rFonts w:asciiTheme="majorHAnsi" w:eastAsia="Calibri" w:hAnsiTheme="majorHAnsi"/>
        </w:rPr>
        <w:t xml:space="preserve">case law </w:t>
      </w:r>
      <w:r w:rsidRPr="007C4B78">
        <w:rPr>
          <w:rFonts w:asciiTheme="majorHAnsi" w:eastAsia="Calibri" w:hAnsiTheme="majorHAnsi"/>
        </w:rPr>
        <w:t xml:space="preserve">database does not contain any cases against the Garda for discrimination against children with </w:t>
      </w:r>
      <w:r w:rsidR="00CF0F5B" w:rsidRPr="007C4B78">
        <w:rPr>
          <w:rFonts w:asciiTheme="majorHAnsi" w:eastAsia="Calibri" w:hAnsiTheme="majorHAnsi"/>
        </w:rPr>
        <w:t>cognitive disabilities</w:t>
      </w:r>
      <w:r w:rsidRPr="007C4B78">
        <w:rPr>
          <w:rFonts w:asciiTheme="majorHAnsi" w:eastAsia="Calibri" w:hAnsiTheme="majorHAnsi"/>
        </w:rPr>
        <w:t xml:space="preserve">. </w:t>
      </w:r>
    </w:p>
    <w:p w14:paraId="2C5CB8EA" w14:textId="77777777" w:rsidR="00AA4D5F" w:rsidRPr="007C4B78" w:rsidRDefault="00AA4D5F" w:rsidP="004D12C3">
      <w:pPr>
        <w:pStyle w:val="Heading4"/>
        <w:jc w:val="both"/>
      </w:pPr>
      <w:r w:rsidRPr="007C4B78">
        <w:t>Promising practices</w:t>
      </w:r>
    </w:p>
    <w:p w14:paraId="7C2EB1C3" w14:textId="77777777" w:rsidR="00AA4D5F" w:rsidRPr="007C4B78" w:rsidRDefault="00AA4D5F" w:rsidP="004D12C3">
      <w:pPr>
        <w:jc w:val="both"/>
        <w:rPr>
          <w:rFonts w:asciiTheme="majorHAnsi" w:eastAsia="Calibri" w:hAnsiTheme="majorHAnsi"/>
        </w:rPr>
      </w:pPr>
      <w:r w:rsidRPr="007C4B78">
        <w:rPr>
          <w:rFonts w:asciiTheme="majorHAnsi" w:eastAsia="Calibri" w:hAnsiTheme="majorHAnsi"/>
        </w:rPr>
        <w:t>There is no separate law for children with cognitive disabilities</w:t>
      </w:r>
      <w:r w:rsidR="006D601E" w:rsidRPr="007C4B78">
        <w:rPr>
          <w:rFonts w:asciiTheme="majorHAnsi" w:eastAsia="Calibri" w:hAnsiTheme="majorHAnsi"/>
        </w:rPr>
        <w:t xml:space="preserve"> compared with</w:t>
      </w:r>
      <w:r w:rsidRPr="007C4B78">
        <w:rPr>
          <w:rFonts w:asciiTheme="majorHAnsi" w:eastAsia="Calibri" w:hAnsiTheme="majorHAnsi"/>
        </w:rPr>
        <w:t xml:space="preserve"> children without cognitive disabilities, however </w:t>
      </w:r>
      <w:r w:rsidR="00E37FF4" w:rsidRPr="007C4B78">
        <w:rPr>
          <w:rFonts w:asciiTheme="majorHAnsi" w:eastAsia="Calibri" w:hAnsiTheme="majorHAnsi"/>
        </w:rPr>
        <w:t>i</w:t>
      </w:r>
      <w:r w:rsidRPr="007C4B78">
        <w:rPr>
          <w:rFonts w:asciiTheme="majorHAnsi" w:eastAsia="Calibri" w:hAnsiTheme="majorHAnsi"/>
        </w:rPr>
        <w:t xml:space="preserve">n January of 2014 a practice directive was issued for the district court for cases concerning young defendants that stated where the young defendant required special </w:t>
      </w:r>
      <w:r w:rsidR="00464197" w:rsidRPr="007C4B78">
        <w:rPr>
          <w:rFonts w:asciiTheme="majorHAnsi" w:eastAsia="Calibri" w:hAnsiTheme="majorHAnsi"/>
        </w:rPr>
        <w:t>arrangements because</w:t>
      </w:r>
      <w:r w:rsidRPr="007C4B78">
        <w:rPr>
          <w:rFonts w:asciiTheme="majorHAnsi" w:eastAsia="Calibri" w:hAnsiTheme="majorHAnsi"/>
        </w:rPr>
        <w:t xml:space="preserve"> of a </w:t>
      </w:r>
      <w:r w:rsidR="00464197" w:rsidRPr="007C4B78">
        <w:rPr>
          <w:rFonts w:asciiTheme="majorHAnsi" w:eastAsia="Calibri" w:hAnsiTheme="majorHAnsi"/>
        </w:rPr>
        <w:t>vulnerability in</w:t>
      </w:r>
      <w:r w:rsidRPr="007C4B78">
        <w:rPr>
          <w:rFonts w:asciiTheme="majorHAnsi" w:eastAsia="Calibri" w:hAnsiTheme="majorHAnsi"/>
        </w:rPr>
        <w:t xml:space="preserve"> order “to meaningfully participate</w:t>
      </w:r>
      <w:r w:rsidR="00464197" w:rsidRPr="007C4B78">
        <w:rPr>
          <w:rFonts w:asciiTheme="majorHAnsi" w:eastAsia="Calibri" w:hAnsiTheme="majorHAnsi"/>
        </w:rPr>
        <w:t>” the</w:t>
      </w:r>
      <w:r w:rsidRPr="007C4B78">
        <w:rPr>
          <w:rFonts w:asciiTheme="majorHAnsi" w:eastAsia="Calibri" w:hAnsiTheme="majorHAnsi"/>
        </w:rPr>
        <w:t xml:space="preserve"> legal practitioner must </w:t>
      </w:r>
      <w:r w:rsidR="00464197" w:rsidRPr="007C4B78">
        <w:rPr>
          <w:rFonts w:asciiTheme="majorHAnsi" w:eastAsia="Calibri" w:hAnsiTheme="majorHAnsi"/>
        </w:rPr>
        <w:lastRenderedPageBreak/>
        <w:t>bring this</w:t>
      </w:r>
      <w:r w:rsidRPr="007C4B78">
        <w:rPr>
          <w:rFonts w:asciiTheme="majorHAnsi" w:eastAsia="Calibri" w:hAnsiTheme="majorHAnsi"/>
        </w:rPr>
        <w:t xml:space="preserve"> to the attention of the court as soon as possible.</w:t>
      </w:r>
      <w:r w:rsidRPr="007C4B78">
        <w:rPr>
          <w:rStyle w:val="FootnoteReference"/>
          <w:rFonts w:asciiTheme="majorHAnsi" w:eastAsia="Calibri" w:hAnsiTheme="majorHAnsi"/>
        </w:rPr>
        <w:footnoteReference w:id="295"/>
      </w:r>
      <w:r w:rsidRPr="007C4B78">
        <w:rPr>
          <w:rFonts w:asciiTheme="majorHAnsi" w:eastAsia="Calibri" w:hAnsiTheme="majorHAnsi"/>
        </w:rPr>
        <w:t xml:space="preserve"> The directive also allows the child to see the court before the proceeding so the child can become familiar with the environment.</w:t>
      </w:r>
      <w:r w:rsidRPr="007C4B78">
        <w:rPr>
          <w:rStyle w:val="FootnoteReference"/>
          <w:rFonts w:asciiTheme="majorHAnsi" w:eastAsia="Calibri" w:hAnsiTheme="majorHAnsi"/>
        </w:rPr>
        <w:footnoteReference w:id="296"/>
      </w:r>
    </w:p>
    <w:p w14:paraId="26666DFE" w14:textId="77777777" w:rsidR="00AA4D5F" w:rsidRPr="007C4B78" w:rsidRDefault="00AA4D5F" w:rsidP="004D12C3">
      <w:pPr>
        <w:pStyle w:val="ListParagraph"/>
        <w:jc w:val="both"/>
        <w:rPr>
          <w:rFonts w:asciiTheme="majorHAnsi" w:eastAsia="Calibri" w:hAnsiTheme="majorHAnsi"/>
        </w:rPr>
      </w:pPr>
    </w:p>
    <w:p w14:paraId="42966F55" w14:textId="77777777" w:rsidR="00AA4D5F" w:rsidRPr="007C4B78" w:rsidRDefault="00E37FF4" w:rsidP="004D12C3">
      <w:pPr>
        <w:jc w:val="both"/>
        <w:rPr>
          <w:rFonts w:asciiTheme="majorHAnsi" w:eastAsia="Calibri" w:hAnsiTheme="majorHAnsi"/>
        </w:rPr>
      </w:pPr>
      <w:r w:rsidRPr="007C4B78">
        <w:rPr>
          <w:rFonts w:asciiTheme="majorHAnsi" w:eastAsia="Calibri" w:hAnsiTheme="majorHAnsi"/>
        </w:rPr>
        <w:t>A</w:t>
      </w:r>
      <w:r w:rsidR="00AA4D5F" w:rsidRPr="007C4B78">
        <w:rPr>
          <w:rFonts w:asciiTheme="majorHAnsi" w:eastAsia="Calibri" w:hAnsiTheme="majorHAnsi"/>
        </w:rPr>
        <w:t xml:space="preserve"> solicitor </w:t>
      </w:r>
      <w:r w:rsidR="00967616" w:rsidRPr="007C4B78">
        <w:rPr>
          <w:rFonts w:asciiTheme="majorHAnsi" w:eastAsia="Calibri" w:hAnsiTheme="majorHAnsi"/>
        </w:rPr>
        <w:t>who</w:t>
      </w:r>
      <w:r w:rsidR="00AA4D5F" w:rsidRPr="007C4B78">
        <w:rPr>
          <w:rFonts w:asciiTheme="majorHAnsi" w:eastAsia="Calibri" w:hAnsiTheme="majorHAnsi"/>
        </w:rPr>
        <w:t xml:space="preserve"> often works with alleged offenders </w:t>
      </w:r>
      <w:r w:rsidR="00967616" w:rsidRPr="007C4B78">
        <w:rPr>
          <w:rFonts w:asciiTheme="majorHAnsi" w:eastAsia="Calibri" w:hAnsiTheme="majorHAnsi"/>
        </w:rPr>
        <w:t>with</w:t>
      </w:r>
      <w:r w:rsidR="00AA4D5F" w:rsidRPr="007C4B78">
        <w:rPr>
          <w:rFonts w:asciiTheme="majorHAnsi" w:eastAsia="Calibri" w:hAnsiTheme="majorHAnsi"/>
        </w:rPr>
        <w:t xml:space="preserve"> intellectual disabilities </w:t>
      </w:r>
      <w:r w:rsidRPr="007C4B78">
        <w:rPr>
          <w:rFonts w:asciiTheme="majorHAnsi" w:eastAsia="Calibri" w:hAnsiTheme="majorHAnsi"/>
        </w:rPr>
        <w:t>interviewed for this report</w:t>
      </w:r>
      <w:r w:rsidR="00AA4D5F" w:rsidRPr="007C4B78">
        <w:rPr>
          <w:rFonts w:asciiTheme="majorHAnsi" w:eastAsia="Calibri" w:hAnsiTheme="majorHAnsi"/>
        </w:rPr>
        <w:t xml:space="preserve"> stated that at least with respect to the Children’s Court in Dublin there is good cooperation between all of the stakeholders and that the presiding judges are generally helpful in making sure that the proceedings are carried out appropriately</w:t>
      </w:r>
      <w:r w:rsidRPr="007C4B78">
        <w:rPr>
          <w:rFonts w:asciiTheme="majorHAnsi" w:eastAsia="Calibri" w:hAnsiTheme="majorHAnsi"/>
        </w:rPr>
        <w:t>. This solicitor stated</w:t>
      </w:r>
      <w:r w:rsidR="00AA4D5F" w:rsidRPr="007C4B78">
        <w:rPr>
          <w:rFonts w:asciiTheme="majorHAnsi" w:eastAsia="Calibri" w:hAnsiTheme="majorHAnsi"/>
        </w:rPr>
        <w:t xml:space="preserve"> that although there are no </w:t>
      </w:r>
      <w:r w:rsidRPr="007C4B78">
        <w:rPr>
          <w:rFonts w:asciiTheme="majorHAnsi" w:eastAsia="Calibri" w:hAnsiTheme="majorHAnsi"/>
        </w:rPr>
        <w:t xml:space="preserve">formal </w:t>
      </w:r>
      <w:r w:rsidR="00AA4D5F" w:rsidRPr="007C4B78">
        <w:rPr>
          <w:rFonts w:asciiTheme="majorHAnsi" w:eastAsia="Calibri" w:hAnsiTheme="majorHAnsi"/>
        </w:rPr>
        <w:t>safeguards</w:t>
      </w:r>
      <w:r w:rsidRPr="007C4B78">
        <w:rPr>
          <w:rFonts w:asciiTheme="majorHAnsi" w:eastAsia="Calibri" w:hAnsiTheme="majorHAnsi"/>
        </w:rPr>
        <w:t>,</w:t>
      </w:r>
      <w:r w:rsidR="007B396E" w:rsidRPr="007C4B78">
        <w:rPr>
          <w:rFonts w:asciiTheme="majorHAnsi" w:eastAsia="Calibri" w:hAnsiTheme="majorHAnsi"/>
        </w:rPr>
        <w:t xml:space="preserve"> </w:t>
      </w:r>
      <w:r w:rsidRPr="007C4B78">
        <w:rPr>
          <w:rFonts w:asciiTheme="majorHAnsi" w:eastAsia="Calibri" w:hAnsiTheme="majorHAnsi"/>
        </w:rPr>
        <w:t xml:space="preserve">court service </w:t>
      </w:r>
      <w:proofErr w:type="gramStart"/>
      <w:r w:rsidRPr="007C4B78">
        <w:rPr>
          <w:rFonts w:asciiTheme="majorHAnsi" w:eastAsia="Calibri" w:hAnsiTheme="majorHAnsi"/>
        </w:rPr>
        <w:t>staff are</w:t>
      </w:r>
      <w:proofErr w:type="gramEnd"/>
      <w:r w:rsidRPr="007C4B78">
        <w:rPr>
          <w:rFonts w:asciiTheme="majorHAnsi" w:eastAsia="Calibri" w:hAnsiTheme="majorHAnsi"/>
        </w:rPr>
        <w:t xml:space="preserve"> working to</w:t>
      </w:r>
      <w:r w:rsidR="00AA4D5F" w:rsidRPr="007C4B78">
        <w:rPr>
          <w:rFonts w:asciiTheme="majorHAnsi" w:eastAsia="Calibri" w:hAnsiTheme="majorHAnsi"/>
        </w:rPr>
        <w:t xml:space="preserve"> address the deficits in the system.</w:t>
      </w:r>
      <w:r w:rsidR="00AA4D5F" w:rsidRPr="007C4B78">
        <w:rPr>
          <w:rStyle w:val="FootnoteReference"/>
          <w:rFonts w:asciiTheme="majorHAnsi" w:eastAsia="Calibri" w:hAnsiTheme="majorHAnsi"/>
        </w:rPr>
        <w:footnoteReference w:id="297"/>
      </w:r>
      <w:r w:rsidR="00464197" w:rsidRPr="007C4B78">
        <w:rPr>
          <w:rFonts w:asciiTheme="majorHAnsi" w:eastAsia="Calibri" w:hAnsiTheme="majorHAnsi"/>
        </w:rPr>
        <w:t>An expert on child rights</w:t>
      </w:r>
      <w:r w:rsidRPr="007C4B78">
        <w:rPr>
          <w:rFonts w:asciiTheme="majorHAnsi" w:eastAsia="Calibri" w:hAnsiTheme="majorHAnsi"/>
        </w:rPr>
        <w:t xml:space="preserve"> interviewed for this project</w:t>
      </w:r>
      <w:r w:rsidR="00464197" w:rsidRPr="007C4B78">
        <w:rPr>
          <w:rFonts w:asciiTheme="majorHAnsi" w:eastAsia="Calibri" w:hAnsiTheme="majorHAnsi"/>
        </w:rPr>
        <w:t xml:space="preserve"> echoed this sentiment</w:t>
      </w:r>
      <w:r w:rsidR="00AA4D5F" w:rsidRPr="007C4B78">
        <w:rPr>
          <w:rFonts w:asciiTheme="majorHAnsi" w:eastAsia="Calibri" w:hAnsiTheme="majorHAnsi"/>
        </w:rPr>
        <w:t>.</w:t>
      </w:r>
      <w:r w:rsidR="00AA4D5F" w:rsidRPr="007C4B78">
        <w:rPr>
          <w:rStyle w:val="FootnoteReference"/>
          <w:rFonts w:asciiTheme="majorHAnsi" w:eastAsia="Calibri" w:hAnsiTheme="majorHAnsi"/>
        </w:rPr>
        <w:footnoteReference w:id="298"/>
      </w:r>
    </w:p>
    <w:p w14:paraId="2039E35A" w14:textId="77777777" w:rsidR="00AA4D5F" w:rsidRPr="007C4B78" w:rsidRDefault="00AA4D5F" w:rsidP="004D12C3">
      <w:pPr>
        <w:pStyle w:val="Heading5"/>
        <w:jc w:val="both"/>
      </w:pPr>
      <w:r w:rsidRPr="007C4B78">
        <w:t>Garda Specialist Interviewers</w:t>
      </w:r>
    </w:p>
    <w:p w14:paraId="67D3B482" w14:textId="77777777" w:rsidR="00AA4D5F" w:rsidRPr="007C4B78" w:rsidRDefault="00AA4D5F" w:rsidP="004D12C3">
      <w:pPr>
        <w:jc w:val="both"/>
        <w:rPr>
          <w:rFonts w:asciiTheme="majorHAnsi" w:hAnsiTheme="majorHAnsi"/>
        </w:rPr>
      </w:pPr>
      <w:r w:rsidRPr="007C4B78">
        <w:rPr>
          <w:rFonts w:asciiTheme="majorHAnsi" w:hAnsiTheme="majorHAnsi"/>
        </w:rPr>
        <w:t>There is a two year specialist training program</w:t>
      </w:r>
      <w:r w:rsidR="004659B9" w:rsidRPr="007C4B78">
        <w:rPr>
          <w:rFonts w:asciiTheme="majorHAnsi" w:hAnsiTheme="majorHAnsi"/>
        </w:rPr>
        <w:t>me</w:t>
      </w:r>
      <w:r w:rsidRPr="007C4B78">
        <w:rPr>
          <w:rFonts w:asciiTheme="majorHAnsi" w:hAnsiTheme="majorHAnsi"/>
        </w:rPr>
        <w:t xml:space="preserve"> for learning specialist interviewing skills for child victims and victims with intellectual disabilities.  It is a selective and intensive training program that includes a placement for several months with an NGO or service that works with people with intellectual disabilities. The first year focuses on theory and the second year works on developing practical skills needed for interviewing children and people with intellectual disabilities through role playing as well as interviewing with volunteer interviewees with intellectual disability.</w:t>
      </w:r>
      <w:r w:rsidR="007B396E" w:rsidRPr="007C4B78">
        <w:rPr>
          <w:rFonts w:asciiTheme="majorHAnsi" w:hAnsiTheme="majorHAnsi"/>
        </w:rPr>
        <w:t xml:space="preserve"> </w:t>
      </w:r>
      <w:r w:rsidRPr="007C4B78">
        <w:rPr>
          <w:rFonts w:asciiTheme="majorHAnsi" w:hAnsiTheme="majorHAnsi"/>
        </w:rPr>
        <w:t>Since the program started in 2007</w:t>
      </w:r>
      <w:r w:rsidR="00A37ECC" w:rsidRPr="007C4B78">
        <w:rPr>
          <w:rFonts w:asciiTheme="majorHAnsi" w:hAnsiTheme="majorHAnsi"/>
        </w:rPr>
        <w:t>,</w:t>
      </w:r>
      <w:r w:rsidRPr="007C4B78">
        <w:rPr>
          <w:rFonts w:asciiTheme="majorHAnsi" w:hAnsiTheme="majorHAnsi"/>
        </w:rPr>
        <w:t xml:space="preserve"> 112 Garda </w:t>
      </w:r>
      <w:r w:rsidR="00A37ECC" w:rsidRPr="007C4B78">
        <w:rPr>
          <w:rFonts w:asciiTheme="majorHAnsi" w:hAnsiTheme="majorHAnsi"/>
        </w:rPr>
        <w:t>have been</w:t>
      </w:r>
      <w:r w:rsidRPr="007C4B78">
        <w:rPr>
          <w:rFonts w:asciiTheme="majorHAnsi" w:hAnsiTheme="majorHAnsi"/>
        </w:rPr>
        <w:t xml:space="preserve"> trained under this program and there are 2 interviews for each of the 23 Garda divisions in Ireland.</w:t>
      </w:r>
      <w:r w:rsidR="00245C05" w:rsidRPr="007C4B78">
        <w:rPr>
          <w:rStyle w:val="FootnoteReference"/>
          <w:rFonts w:asciiTheme="majorHAnsi" w:hAnsiTheme="majorHAnsi"/>
        </w:rPr>
        <w:footnoteReference w:id="299"/>
      </w:r>
    </w:p>
    <w:p w14:paraId="3FC0BDA3" w14:textId="77777777" w:rsidR="00AA4D5F" w:rsidRPr="007C4B78" w:rsidRDefault="00AA4D5F" w:rsidP="004D12C3">
      <w:pPr>
        <w:jc w:val="both"/>
        <w:rPr>
          <w:rFonts w:asciiTheme="majorHAnsi" w:hAnsiTheme="majorHAnsi"/>
        </w:rPr>
      </w:pPr>
    </w:p>
    <w:p w14:paraId="6037EAF5" w14:textId="77777777" w:rsidR="00AA4D5F" w:rsidRPr="007C4B78" w:rsidRDefault="00AA4D5F" w:rsidP="004D12C3">
      <w:pPr>
        <w:jc w:val="both"/>
        <w:rPr>
          <w:rFonts w:asciiTheme="majorHAnsi" w:hAnsiTheme="majorHAnsi"/>
        </w:rPr>
      </w:pPr>
      <w:r w:rsidRPr="007C4B78">
        <w:rPr>
          <w:rFonts w:asciiTheme="majorHAnsi" w:hAnsiTheme="majorHAnsi"/>
        </w:rPr>
        <w:t>The training programme was developed into response to criticism levied at Ireland in 2006 in the concluding comments on Ireland’s report for the Convention on the Rights of the Child. The training programme aims to follow the 2003</w:t>
      </w:r>
      <w:r w:rsidR="00415979" w:rsidRPr="007C4B78">
        <w:rPr>
          <w:rFonts w:asciiTheme="majorHAnsi" w:hAnsiTheme="majorHAnsi"/>
        </w:rPr>
        <w:t xml:space="preserve"> Garda interview</w:t>
      </w:r>
      <w:r w:rsidR="007B396E" w:rsidRPr="007C4B78">
        <w:rPr>
          <w:rFonts w:asciiTheme="majorHAnsi" w:hAnsiTheme="majorHAnsi"/>
        </w:rPr>
        <w:t xml:space="preserve"> </w:t>
      </w:r>
      <w:r w:rsidRPr="007C4B78">
        <w:rPr>
          <w:rFonts w:asciiTheme="majorHAnsi" w:hAnsiTheme="majorHAnsi"/>
          <w:i/>
        </w:rPr>
        <w:t>Good Practice Guidelines</w:t>
      </w:r>
      <w:r w:rsidRPr="007C4B78">
        <w:rPr>
          <w:rFonts w:asciiTheme="majorHAnsi" w:hAnsiTheme="majorHAnsi"/>
        </w:rPr>
        <w:t>, written by a committee that included social workers, solicitors, victim support services, judges and police officers.</w:t>
      </w:r>
      <w:r w:rsidRPr="007C4B78">
        <w:rPr>
          <w:rStyle w:val="FootnoteReference"/>
          <w:rFonts w:asciiTheme="majorHAnsi" w:hAnsiTheme="majorHAnsi"/>
        </w:rPr>
        <w:footnoteReference w:id="300"/>
      </w:r>
    </w:p>
    <w:p w14:paraId="5C3DA38D" w14:textId="77777777" w:rsidR="00AA4D5F" w:rsidRPr="007C4B78" w:rsidRDefault="00AA4D5F" w:rsidP="004D12C3">
      <w:pPr>
        <w:jc w:val="both"/>
        <w:rPr>
          <w:rFonts w:asciiTheme="majorHAnsi" w:hAnsiTheme="majorHAnsi"/>
        </w:rPr>
      </w:pPr>
    </w:p>
    <w:p w14:paraId="43B83D4D" w14:textId="77777777" w:rsidR="00AA4D5F" w:rsidRPr="007C4B78" w:rsidRDefault="00415979" w:rsidP="004D12C3">
      <w:pPr>
        <w:jc w:val="both"/>
        <w:rPr>
          <w:rFonts w:asciiTheme="majorHAnsi" w:hAnsiTheme="majorHAnsi"/>
        </w:rPr>
      </w:pPr>
      <w:r w:rsidRPr="007C4B78">
        <w:rPr>
          <w:rFonts w:asciiTheme="majorHAnsi" w:hAnsiTheme="majorHAnsi"/>
        </w:rPr>
        <w:t>These interviewers can</w:t>
      </w:r>
      <w:r w:rsidR="00AA4D5F" w:rsidRPr="007C4B78">
        <w:rPr>
          <w:rFonts w:asciiTheme="majorHAnsi" w:hAnsiTheme="majorHAnsi"/>
        </w:rPr>
        <w:t xml:space="preserve"> be an excellent resource for children with cognitive disabilities who wish to access justice</w:t>
      </w:r>
      <w:r w:rsidRPr="007C4B78">
        <w:rPr>
          <w:rFonts w:asciiTheme="majorHAnsi" w:hAnsiTheme="majorHAnsi"/>
        </w:rPr>
        <w:t>. However,</w:t>
      </w:r>
      <w:r w:rsidR="00AA4D5F" w:rsidRPr="007C4B78">
        <w:rPr>
          <w:rFonts w:asciiTheme="majorHAnsi" w:hAnsiTheme="majorHAnsi"/>
        </w:rPr>
        <w:t xml:space="preserve"> this system requires that the local </w:t>
      </w:r>
      <w:r w:rsidRPr="007C4B78">
        <w:rPr>
          <w:rFonts w:asciiTheme="majorHAnsi" w:hAnsiTheme="majorHAnsi"/>
        </w:rPr>
        <w:t xml:space="preserve">Garda </w:t>
      </w:r>
      <w:r w:rsidR="00AA4D5F" w:rsidRPr="007C4B78">
        <w:rPr>
          <w:rFonts w:asciiTheme="majorHAnsi" w:hAnsiTheme="majorHAnsi"/>
        </w:rPr>
        <w:t xml:space="preserve">station knows of the specialist interviewers and contacts them in a timely manner. These specialist interviewers are not always contacted or well </w:t>
      </w:r>
      <w:r w:rsidR="00AA4D5F" w:rsidRPr="007C4B78">
        <w:rPr>
          <w:rFonts w:asciiTheme="majorHAnsi" w:hAnsiTheme="majorHAnsi"/>
        </w:rPr>
        <w:lastRenderedPageBreak/>
        <w:t>utilised by the local stations</w:t>
      </w:r>
      <w:r w:rsidR="00AA4D5F" w:rsidRPr="007C4B78">
        <w:rPr>
          <w:rStyle w:val="FootnoteReference"/>
          <w:rFonts w:asciiTheme="majorHAnsi" w:hAnsiTheme="majorHAnsi"/>
        </w:rPr>
        <w:footnoteReference w:id="301"/>
      </w:r>
      <w:r w:rsidR="00AA4D5F" w:rsidRPr="007C4B78">
        <w:rPr>
          <w:rFonts w:asciiTheme="majorHAnsi" w:hAnsiTheme="majorHAnsi"/>
        </w:rPr>
        <w:t xml:space="preserve"> and there are cases where victims with cognitive disabilities encountered no such interviewer when they reported the crime.</w:t>
      </w:r>
      <w:r w:rsidR="00AA4D5F" w:rsidRPr="007C4B78">
        <w:rPr>
          <w:rStyle w:val="FootnoteReference"/>
          <w:rFonts w:asciiTheme="majorHAnsi" w:hAnsiTheme="majorHAnsi"/>
        </w:rPr>
        <w:footnoteReference w:id="302"/>
      </w:r>
    </w:p>
    <w:p w14:paraId="0E148E17" w14:textId="77777777" w:rsidR="00AA4D5F" w:rsidRPr="007C4B78" w:rsidRDefault="00AA4D5F" w:rsidP="004D12C3">
      <w:pPr>
        <w:pStyle w:val="Heading5"/>
        <w:jc w:val="both"/>
      </w:pPr>
      <w:r w:rsidRPr="007C4B78">
        <w:t>Alternative Justice Programs</w:t>
      </w:r>
    </w:p>
    <w:p w14:paraId="459BB709" w14:textId="77777777" w:rsidR="00AA4D5F" w:rsidRPr="007C4B78" w:rsidRDefault="00AA4D5F" w:rsidP="004D12C3">
      <w:pPr>
        <w:pStyle w:val="Heading6"/>
        <w:jc w:val="both"/>
      </w:pPr>
      <w:r w:rsidRPr="007C4B78">
        <w:t xml:space="preserve">Diversion Program </w:t>
      </w:r>
    </w:p>
    <w:p w14:paraId="01C9B455" w14:textId="77777777" w:rsidR="00AA4D5F" w:rsidRPr="007C4B78" w:rsidRDefault="004659B9" w:rsidP="004D12C3">
      <w:pPr>
        <w:jc w:val="both"/>
        <w:rPr>
          <w:rFonts w:asciiTheme="majorHAnsi" w:eastAsia="Calibri" w:hAnsiTheme="majorHAnsi"/>
        </w:rPr>
      </w:pPr>
      <w:r w:rsidRPr="007C4B78">
        <w:rPr>
          <w:rFonts w:asciiTheme="majorHAnsi" w:eastAsia="Calibri" w:hAnsiTheme="majorHAnsi"/>
        </w:rPr>
        <w:t xml:space="preserve">The Garda </w:t>
      </w:r>
      <w:r w:rsidR="00AA4D5F" w:rsidRPr="007C4B78">
        <w:rPr>
          <w:rFonts w:asciiTheme="majorHAnsi" w:eastAsia="Calibri" w:hAnsiTheme="majorHAnsi"/>
        </w:rPr>
        <w:t>Diversion Program</w:t>
      </w:r>
      <w:r w:rsidRPr="007C4B78">
        <w:rPr>
          <w:rFonts w:asciiTheme="majorHAnsi" w:eastAsia="Calibri" w:hAnsiTheme="majorHAnsi"/>
        </w:rPr>
        <w:t>me</w:t>
      </w:r>
      <w:r w:rsidR="00AA4D5F" w:rsidRPr="007C4B78">
        <w:rPr>
          <w:rFonts w:asciiTheme="majorHAnsi" w:eastAsia="Calibri" w:hAnsiTheme="majorHAnsi"/>
        </w:rPr>
        <w:t xml:space="preserve"> is available to children who commit an offence or have anti-social behaviour and accept responsibility for his or her actions</w:t>
      </w:r>
      <w:r w:rsidRPr="007C4B78">
        <w:rPr>
          <w:rFonts w:asciiTheme="majorHAnsi" w:eastAsia="Calibri" w:hAnsiTheme="majorHAnsi"/>
        </w:rPr>
        <w:t xml:space="preserve"> (and meet other criteria)</w:t>
      </w:r>
      <w:r w:rsidR="00AA4D5F" w:rsidRPr="007C4B78">
        <w:rPr>
          <w:rFonts w:asciiTheme="majorHAnsi" w:eastAsia="Calibri" w:hAnsiTheme="majorHAnsi"/>
        </w:rPr>
        <w:t>.</w:t>
      </w:r>
      <w:r w:rsidR="00AA4D5F" w:rsidRPr="007C4B78">
        <w:rPr>
          <w:rStyle w:val="FootnoteReference"/>
          <w:rFonts w:asciiTheme="majorHAnsi" w:eastAsia="Calibri" w:hAnsiTheme="majorHAnsi"/>
        </w:rPr>
        <w:footnoteReference w:id="303"/>
      </w:r>
      <w:r w:rsidR="00AA4D5F" w:rsidRPr="007C4B78">
        <w:rPr>
          <w:rFonts w:asciiTheme="majorHAnsi" w:eastAsia="Calibri" w:hAnsiTheme="majorHAnsi"/>
        </w:rPr>
        <w:t xml:space="preserve"> In 2010 there were 5,480 children participating in the diversion program</w:t>
      </w:r>
      <w:r w:rsidR="00415979" w:rsidRPr="007C4B78">
        <w:rPr>
          <w:rFonts w:asciiTheme="majorHAnsi" w:eastAsia="Calibri" w:hAnsiTheme="majorHAnsi"/>
        </w:rPr>
        <w:t>;</w:t>
      </w:r>
      <w:r w:rsidR="00AA4D5F" w:rsidRPr="007C4B78">
        <w:rPr>
          <w:rStyle w:val="FootnoteReference"/>
          <w:rFonts w:asciiTheme="majorHAnsi" w:eastAsia="Calibri" w:hAnsiTheme="majorHAnsi"/>
        </w:rPr>
        <w:footnoteReference w:id="304"/>
      </w:r>
      <w:r w:rsidR="00415979" w:rsidRPr="007C4B78">
        <w:rPr>
          <w:rFonts w:asciiTheme="majorHAnsi" w:eastAsia="Calibri" w:hAnsiTheme="majorHAnsi"/>
        </w:rPr>
        <w:t xml:space="preserve"> but it is not known how many of these are children with cognitive disabilities.</w:t>
      </w:r>
    </w:p>
    <w:p w14:paraId="3217CF1C" w14:textId="77777777" w:rsidR="00AA4D5F" w:rsidRPr="007C4B78" w:rsidRDefault="00AA4D5F" w:rsidP="004D12C3">
      <w:pPr>
        <w:pStyle w:val="Heading6"/>
        <w:jc w:val="both"/>
      </w:pPr>
      <w:r w:rsidRPr="007C4B78">
        <w:t>Restorative Justice</w:t>
      </w:r>
    </w:p>
    <w:p w14:paraId="567141C9" w14:textId="77777777" w:rsidR="00AA4D5F" w:rsidRPr="007C4B78" w:rsidRDefault="00AA4D5F" w:rsidP="004D12C3">
      <w:pPr>
        <w:jc w:val="both"/>
        <w:rPr>
          <w:rFonts w:asciiTheme="majorHAnsi" w:eastAsia="Calibri" w:hAnsiTheme="majorHAnsi"/>
        </w:rPr>
      </w:pPr>
      <w:r w:rsidRPr="007C4B78">
        <w:rPr>
          <w:rFonts w:asciiTheme="majorHAnsi" w:eastAsia="Calibri" w:hAnsiTheme="majorHAnsi"/>
        </w:rPr>
        <w:t xml:space="preserve">There is also a restorative </w:t>
      </w:r>
      <w:r w:rsidR="00000917" w:rsidRPr="007C4B78">
        <w:rPr>
          <w:rFonts w:asciiTheme="majorHAnsi" w:eastAsia="Calibri" w:hAnsiTheme="majorHAnsi"/>
        </w:rPr>
        <w:t xml:space="preserve">justice </w:t>
      </w:r>
      <w:r w:rsidRPr="007C4B78">
        <w:rPr>
          <w:rFonts w:asciiTheme="majorHAnsi" w:eastAsia="Calibri" w:hAnsiTheme="majorHAnsi"/>
        </w:rPr>
        <w:t>program</w:t>
      </w:r>
      <w:r w:rsidR="00000917" w:rsidRPr="007C4B78">
        <w:rPr>
          <w:rFonts w:asciiTheme="majorHAnsi" w:eastAsia="Calibri" w:hAnsiTheme="majorHAnsi"/>
        </w:rPr>
        <w:t xml:space="preserve"> for children</w:t>
      </w:r>
      <w:r w:rsidRPr="007C4B78">
        <w:rPr>
          <w:rFonts w:asciiTheme="majorHAnsi" w:eastAsia="Calibri" w:hAnsiTheme="majorHAnsi"/>
        </w:rPr>
        <w:t xml:space="preserve"> in a neighbourhood in Dublin that seeks to develop capacity in the community to “manage conflict and tensions by repairing harm and building relationships.”</w:t>
      </w:r>
      <w:r w:rsidRPr="007C4B78">
        <w:rPr>
          <w:rStyle w:val="FootnoteReference"/>
          <w:rFonts w:asciiTheme="majorHAnsi" w:eastAsia="Calibri" w:hAnsiTheme="majorHAnsi"/>
        </w:rPr>
        <w:footnoteReference w:id="305"/>
      </w:r>
      <w:r w:rsidR="00000917" w:rsidRPr="007C4B78">
        <w:rPr>
          <w:rFonts w:asciiTheme="majorHAnsi" w:eastAsia="Calibri" w:hAnsiTheme="majorHAnsi"/>
        </w:rPr>
        <w:t xml:space="preserve"> Again, the level of involvement of children with cognitive disabilities in this program is unknown.</w:t>
      </w:r>
    </w:p>
    <w:p w14:paraId="51F599FB" w14:textId="77777777" w:rsidR="006235AF" w:rsidRPr="007C4B78" w:rsidRDefault="006235AF" w:rsidP="004D12C3">
      <w:pPr>
        <w:pStyle w:val="Heading4"/>
        <w:jc w:val="both"/>
      </w:pPr>
      <w:r w:rsidRPr="007C4B78">
        <w:t>Barriers</w:t>
      </w:r>
    </w:p>
    <w:p w14:paraId="5621037B" w14:textId="77777777" w:rsidR="00641E77" w:rsidRPr="007C4B78" w:rsidRDefault="00000917" w:rsidP="004D12C3">
      <w:pPr>
        <w:pStyle w:val="ColorfulList-Accent11"/>
        <w:ind w:left="0"/>
        <w:jc w:val="both"/>
        <w:rPr>
          <w:rFonts w:asciiTheme="majorHAnsi" w:hAnsiTheme="majorHAnsi"/>
        </w:rPr>
      </w:pPr>
      <w:r w:rsidRPr="007C4B78">
        <w:rPr>
          <w:rFonts w:asciiTheme="majorHAnsi" w:hAnsiTheme="majorHAnsi"/>
        </w:rPr>
        <w:t>As outlined above, o</w:t>
      </w:r>
      <w:r w:rsidR="0043430B" w:rsidRPr="007C4B78">
        <w:rPr>
          <w:rFonts w:asciiTheme="majorHAnsi" w:hAnsiTheme="majorHAnsi"/>
        </w:rPr>
        <w:t>ffenders with cognitive disabilities are not accorded the same right</w:t>
      </w:r>
      <w:r w:rsidRPr="007C4B78">
        <w:rPr>
          <w:rFonts w:asciiTheme="majorHAnsi" w:hAnsiTheme="majorHAnsi"/>
        </w:rPr>
        <w:t>s</w:t>
      </w:r>
      <w:r w:rsidR="0043430B" w:rsidRPr="007C4B78">
        <w:rPr>
          <w:rFonts w:asciiTheme="majorHAnsi" w:hAnsiTheme="majorHAnsi"/>
        </w:rPr>
        <w:t xml:space="preserve"> to accommodations and flexible proceedings as victims and witnesses. Furthermore</w:t>
      </w:r>
      <w:r w:rsidRPr="007C4B78">
        <w:rPr>
          <w:rFonts w:asciiTheme="majorHAnsi" w:hAnsiTheme="majorHAnsi"/>
        </w:rPr>
        <w:t>, as described, Ireland</w:t>
      </w:r>
      <w:r w:rsidR="00CF2414" w:rsidRPr="007C4B78">
        <w:rPr>
          <w:rFonts w:asciiTheme="majorHAnsi" w:hAnsiTheme="majorHAnsi"/>
        </w:rPr>
        <w:t xml:space="preserve"> </w:t>
      </w:r>
      <w:r w:rsidRPr="007C4B78">
        <w:rPr>
          <w:rFonts w:asciiTheme="majorHAnsi" w:hAnsiTheme="majorHAnsi"/>
        </w:rPr>
        <w:t>does</w:t>
      </w:r>
      <w:r w:rsidR="0043430B" w:rsidRPr="007C4B78">
        <w:rPr>
          <w:rFonts w:asciiTheme="majorHAnsi" w:hAnsiTheme="majorHAnsi"/>
        </w:rPr>
        <w:t xml:space="preserve"> no</w:t>
      </w:r>
      <w:r w:rsidRPr="007C4B78">
        <w:rPr>
          <w:rFonts w:asciiTheme="majorHAnsi" w:hAnsiTheme="majorHAnsi"/>
        </w:rPr>
        <w:t>t</w:t>
      </w:r>
      <w:r w:rsidR="0043430B" w:rsidRPr="007C4B78">
        <w:rPr>
          <w:rFonts w:asciiTheme="majorHAnsi" w:hAnsiTheme="majorHAnsi"/>
        </w:rPr>
        <w:t xml:space="preserve"> systematic collect data o</w:t>
      </w:r>
      <w:r w:rsidRPr="007C4B78">
        <w:rPr>
          <w:rFonts w:asciiTheme="majorHAnsi" w:hAnsiTheme="majorHAnsi"/>
        </w:rPr>
        <w:t>n</w:t>
      </w:r>
      <w:r w:rsidR="00CF2414" w:rsidRPr="007C4B78">
        <w:rPr>
          <w:rFonts w:asciiTheme="majorHAnsi" w:hAnsiTheme="majorHAnsi"/>
        </w:rPr>
        <w:t xml:space="preserve"> </w:t>
      </w:r>
      <w:r w:rsidRPr="007C4B78">
        <w:rPr>
          <w:rFonts w:asciiTheme="majorHAnsi" w:hAnsiTheme="majorHAnsi"/>
        </w:rPr>
        <w:t>whether offenders are identified as having any kind of disability.</w:t>
      </w:r>
    </w:p>
    <w:p w14:paraId="4B8F6298" w14:textId="77777777" w:rsidR="00641E77" w:rsidRPr="007C4B78" w:rsidRDefault="00641E77" w:rsidP="004D12C3">
      <w:pPr>
        <w:pStyle w:val="Heading5"/>
        <w:jc w:val="both"/>
      </w:pPr>
      <w:r w:rsidRPr="007C4B78">
        <w:t>Access to Mental Health Services</w:t>
      </w:r>
    </w:p>
    <w:p w14:paraId="56C6440C" w14:textId="77777777" w:rsidR="00641E77" w:rsidRPr="007C4B78" w:rsidRDefault="00641E77" w:rsidP="004D12C3">
      <w:pPr>
        <w:jc w:val="both"/>
        <w:rPr>
          <w:rFonts w:asciiTheme="majorHAnsi" w:eastAsia="Calibri" w:hAnsiTheme="majorHAnsi"/>
        </w:rPr>
      </w:pPr>
      <w:r w:rsidRPr="007C4B78">
        <w:rPr>
          <w:rFonts w:asciiTheme="majorHAnsi" w:eastAsia="Calibri" w:hAnsiTheme="majorHAnsi"/>
        </w:rPr>
        <w:t>One solicitor who works in the Children’s Court</w:t>
      </w:r>
      <w:r w:rsidR="00000917" w:rsidRPr="007C4B78">
        <w:rPr>
          <w:rFonts w:asciiTheme="majorHAnsi" w:eastAsia="Calibri" w:hAnsiTheme="majorHAnsi"/>
        </w:rPr>
        <w:t xml:space="preserve"> interviewed for this project</w:t>
      </w:r>
      <w:r w:rsidR="00CF2414" w:rsidRPr="007C4B78">
        <w:rPr>
          <w:rFonts w:asciiTheme="majorHAnsi" w:eastAsia="Calibri" w:hAnsiTheme="majorHAnsi"/>
        </w:rPr>
        <w:t xml:space="preserve"> </w:t>
      </w:r>
      <w:r w:rsidR="00A81702" w:rsidRPr="007C4B78">
        <w:rPr>
          <w:rFonts w:asciiTheme="majorHAnsi" w:eastAsia="Calibri" w:hAnsiTheme="majorHAnsi"/>
        </w:rPr>
        <w:t>wa</w:t>
      </w:r>
      <w:r w:rsidR="00F27E98" w:rsidRPr="007C4B78">
        <w:rPr>
          <w:rFonts w:asciiTheme="majorHAnsi" w:eastAsia="Calibri" w:hAnsiTheme="majorHAnsi"/>
        </w:rPr>
        <w:t>s concerned at the criminalisation of children with</w:t>
      </w:r>
      <w:r w:rsidRPr="007C4B78">
        <w:rPr>
          <w:rFonts w:asciiTheme="majorHAnsi" w:eastAsia="Calibri" w:hAnsiTheme="majorHAnsi"/>
        </w:rPr>
        <w:t xml:space="preserve"> mental health problems</w:t>
      </w:r>
      <w:r w:rsidR="00F27E98" w:rsidRPr="007C4B78">
        <w:rPr>
          <w:rFonts w:asciiTheme="majorHAnsi" w:eastAsia="Calibri" w:hAnsiTheme="majorHAnsi"/>
        </w:rPr>
        <w:t>,</w:t>
      </w:r>
      <w:r w:rsidRPr="007C4B78">
        <w:rPr>
          <w:rFonts w:asciiTheme="majorHAnsi" w:eastAsia="Calibri" w:hAnsiTheme="majorHAnsi"/>
        </w:rPr>
        <w:t xml:space="preserve"> where children between 15-18 are arrested for incidents that happen in the home (destruction of property, violence) when parents call the Garda as a last </w:t>
      </w:r>
      <w:r w:rsidR="00F27E98" w:rsidRPr="007C4B78">
        <w:rPr>
          <w:rFonts w:asciiTheme="majorHAnsi" w:eastAsia="Calibri" w:hAnsiTheme="majorHAnsi"/>
        </w:rPr>
        <w:t xml:space="preserve">resort </w:t>
      </w:r>
      <w:r w:rsidRPr="007C4B78">
        <w:rPr>
          <w:rFonts w:asciiTheme="majorHAnsi" w:eastAsia="Calibri" w:hAnsiTheme="majorHAnsi"/>
        </w:rPr>
        <w:t>effort to keep their child safe in the absence of</w:t>
      </w:r>
      <w:r w:rsidR="00F27E98" w:rsidRPr="007C4B78">
        <w:rPr>
          <w:rFonts w:asciiTheme="majorHAnsi" w:eastAsia="Calibri" w:hAnsiTheme="majorHAnsi"/>
        </w:rPr>
        <w:t xml:space="preserve"> adequate support</w:t>
      </w:r>
      <w:r w:rsidRPr="007C4B78">
        <w:rPr>
          <w:rFonts w:asciiTheme="majorHAnsi" w:eastAsia="Calibri" w:hAnsiTheme="majorHAnsi"/>
        </w:rPr>
        <w:t xml:space="preserve"> services.</w:t>
      </w:r>
      <w:r w:rsidRPr="007C4B78">
        <w:rPr>
          <w:rStyle w:val="FootnoteReference"/>
          <w:rFonts w:asciiTheme="majorHAnsi" w:eastAsia="Calibri" w:hAnsiTheme="majorHAnsi"/>
        </w:rPr>
        <w:footnoteReference w:id="306"/>
      </w:r>
      <w:r w:rsidRPr="007C4B78">
        <w:rPr>
          <w:rFonts w:asciiTheme="majorHAnsi" w:eastAsia="Calibri" w:hAnsiTheme="majorHAnsi"/>
        </w:rPr>
        <w:t xml:space="preserve"> This issue </w:t>
      </w:r>
      <w:r w:rsidR="00F27E98" w:rsidRPr="007C4B78">
        <w:rPr>
          <w:rFonts w:asciiTheme="majorHAnsi" w:eastAsia="Calibri" w:hAnsiTheme="majorHAnsi"/>
        </w:rPr>
        <w:t xml:space="preserve">tends to arise </w:t>
      </w:r>
      <w:r w:rsidRPr="007C4B78">
        <w:rPr>
          <w:rFonts w:asciiTheme="majorHAnsi" w:eastAsia="Calibri" w:hAnsiTheme="majorHAnsi"/>
        </w:rPr>
        <w:t>when such crisis situations occur outside the business hours of social services.  According to th</w:t>
      </w:r>
      <w:r w:rsidR="00F27E98" w:rsidRPr="007C4B78">
        <w:rPr>
          <w:rFonts w:asciiTheme="majorHAnsi" w:eastAsia="Calibri" w:hAnsiTheme="majorHAnsi"/>
        </w:rPr>
        <w:t xml:space="preserve">is interviewee, </w:t>
      </w:r>
      <w:r w:rsidRPr="007C4B78">
        <w:rPr>
          <w:rFonts w:asciiTheme="majorHAnsi" w:eastAsia="Calibri" w:hAnsiTheme="majorHAnsi"/>
        </w:rPr>
        <w:t>child mental health services</w:t>
      </w:r>
      <w:r w:rsidR="00A81702" w:rsidRPr="007C4B78">
        <w:rPr>
          <w:rFonts w:asciiTheme="majorHAnsi" w:eastAsia="Calibri" w:hAnsiTheme="majorHAnsi"/>
        </w:rPr>
        <w:t xml:space="preserve"> in Ir</w:t>
      </w:r>
      <w:r w:rsidR="00F27E98" w:rsidRPr="007C4B78">
        <w:rPr>
          <w:rFonts w:asciiTheme="majorHAnsi" w:eastAsia="Calibri" w:hAnsiTheme="majorHAnsi"/>
        </w:rPr>
        <w:t>eland</w:t>
      </w:r>
      <w:r w:rsidRPr="007C4B78">
        <w:rPr>
          <w:rFonts w:asciiTheme="majorHAnsi" w:eastAsia="Calibri" w:hAnsiTheme="majorHAnsi"/>
        </w:rPr>
        <w:t xml:space="preserve"> will often not </w:t>
      </w:r>
      <w:r w:rsidR="00F27E98" w:rsidRPr="007C4B78">
        <w:rPr>
          <w:rFonts w:asciiTheme="majorHAnsi" w:eastAsia="Calibri" w:hAnsiTheme="majorHAnsi"/>
        </w:rPr>
        <w:t xml:space="preserve">work with </w:t>
      </w:r>
      <w:r w:rsidRPr="007C4B78">
        <w:rPr>
          <w:rFonts w:asciiTheme="majorHAnsi" w:eastAsia="Calibri" w:hAnsiTheme="majorHAnsi"/>
        </w:rPr>
        <w:t>children over the age of 16 while many adult mental health services would not take someone under 18.</w:t>
      </w:r>
      <w:r w:rsidRPr="007C4B78">
        <w:rPr>
          <w:rStyle w:val="FootnoteReference"/>
          <w:rFonts w:asciiTheme="majorHAnsi" w:eastAsia="Calibri" w:hAnsiTheme="majorHAnsi"/>
        </w:rPr>
        <w:footnoteReference w:id="307"/>
      </w:r>
    </w:p>
    <w:p w14:paraId="0F2D709B" w14:textId="77777777" w:rsidR="005B7A9E" w:rsidRPr="007C4B78" w:rsidRDefault="005B7A9E" w:rsidP="004D12C3">
      <w:pPr>
        <w:pStyle w:val="Heading5"/>
        <w:jc w:val="both"/>
      </w:pPr>
      <w:r w:rsidRPr="007C4B78">
        <w:t>Protection of privacy of child offenders</w:t>
      </w:r>
    </w:p>
    <w:p w14:paraId="5D45A187" w14:textId="77777777" w:rsidR="005B7A9E" w:rsidRPr="007C4B78" w:rsidRDefault="005B7A9E" w:rsidP="004D12C3">
      <w:pPr>
        <w:jc w:val="both"/>
        <w:rPr>
          <w:rFonts w:asciiTheme="majorHAnsi" w:eastAsia="Calibri" w:hAnsiTheme="majorHAnsi"/>
        </w:rPr>
      </w:pPr>
      <w:r w:rsidRPr="007C4B78">
        <w:rPr>
          <w:rFonts w:asciiTheme="majorHAnsi" w:eastAsia="Calibri" w:hAnsiTheme="majorHAnsi"/>
        </w:rPr>
        <w:t>One case that provides some insight into how children with cognitive disabilities who are alleged offenders are treated by the press is the case of a Co. Laois murder where a 15 year old killed a 14 year old in 2003</w:t>
      </w:r>
      <w:r w:rsidR="00B36852" w:rsidRPr="007C4B78">
        <w:rPr>
          <w:rFonts w:asciiTheme="majorHAnsi" w:eastAsia="Calibri" w:hAnsiTheme="majorHAnsi"/>
        </w:rPr>
        <w:t>. The cause of death was a blow from</w:t>
      </w:r>
      <w:r w:rsidRPr="007C4B78">
        <w:rPr>
          <w:rFonts w:asciiTheme="majorHAnsi" w:eastAsia="Calibri" w:hAnsiTheme="majorHAnsi"/>
        </w:rPr>
        <w:t xml:space="preserve"> a hammer and the court</w:t>
      </w:r>
      <w:r w:rsidR="00B36852" w:rsidRPr="007C4B78">
        <w:rPr>
          <w:rFonts w:asciiTheme="majorHAnsi" w:eastAsia="Calibri" w:hAnsiTheme="majorHAnsi"/>
        </w:rPr>
        <w:t xml:space="preserve"> could not establish any discernable motive </w:t>
      </w:r>
      <w:r w:rsidR="00B36852" w:rsidRPr="007C4B78">
        <w:rPr>
          <w:rFonts w:asciiTheme="majorHAnsi" w:eastAsia="Calibri" w:hAnsiTheme="majorHAnsi"/>
        </w:rPr>
        <w:lastRenderedPageBreak/>
        <w:t>in the case</w:t>
      </w:r>
      <w:r w:rsidRPr="007C4B78">
        <w:rPr>
          <w:rFonts w:asciiTheme="majorHAnsi" w:eastAsia="Calibri" w:hAnsiTheme="majorHAnsi"/>
        </w:rPr>
        <w:t>.</w:t>
      </w:r>
      <w:r w:rsidRPr="007C4B78">
        <w:rPr>
          <w:rStyle w:val="FootnoteReference"/>
          <w:rFonts w:asciiTheme="majorHAnsi" w:eastAsia="Calibri" w:hAnsiTheme="majorHAnsi"/>
        </w:rPr>
        <w:footnoteReference w:id="308"/>
      </w:r>
      <w:r w:rsidRPr="007C4B78">
        <w:rPr>
          <w:rFonts w:asciiTheme="majorHAnsi" w:eastAsia="Calibri" w:hAnsiTheme="majorHAnsi"/>
        </w:rPr>
        <w:t xml:space="preserve">  Although the judge in the case found that the child “did not suffer from any formal psychiatric illness” </w:t>
      </w:r>
      <w:r w:rsidRPr="007C4B78">
        <w:rPr>
          <w:rStyle w:val="FootnoteReference"/>
          <w:rFonts w:asciiTheme="majorHAnsi" w:eastAsia="Calibri" w:hAnsiTheme="majorHAnsi"/>
        </w:rPr>
        <w:footnoteReference w:id="309"/>
      </w:r>
      <w:r w:rsidRPr="007C4B78">
        <w:rPr>
          <w:rFonts w:asciiTheme="majorHAnsi" w:eastAsia="Calibri" w:hAnsiTheme="majorHAnsi"/>
        </w:rPr>
        <w:t xml:space="preserve"> the child was required to see a psychologist</w:t>
      </w:r>
      <w:r w:rsidR="00B36852" w:rsidRPr="007C4B78">
        <w:rPr>
          <w:rFonts w:asciiTheme="majorHAnsi" w:eastAsia="Calibri" w:hAnsiTheme="majorHAnsi"/>
        </w:rPr>
        <w:t>,</w:t>
      </w:r>
      <w:r w:rsidRPr="007C4B78">
        <w:rPr>
          <w:rStyle w:val="FootnoteReference"/>
          <w:rFonts w:asciiTheme="majorHAnsi" w:eastAsia="Calibri" w:hAnsiTheme="majorHAnsi"/>
        </w:rPr>
        <w:footnoteReference w:id="310"/>
      </w:r>
      <w:r w:rsidRPr="007C4B78">
        <w:rPr>
          <w:rFonts w:asciiTheme="majorHAnsi" w:eastAsia="Calibri" w:hAnsiTheme="majorHAnsi"/>
        </w:rPr>
        <w:t xml:space="preserve"> had attempted suicide in the past</w:t>
      </w:r>
      <w:r w:rsidRPr="007C4B78">
        <w:rPr>
          <w:rStyle w:val="FootnoteReference"/>
          <w:rFonts w:asciiTheme="majorHAnsi" w:eastAsia="Calibri" w:hAnsiTheme="majorHAnsi"/>
        </w:rPr>
        <w:footnoteReference w:id="311"/>
      </w:r>
      <w:r w:rsidRPr="007C4B78">
        <w:rPr>
          <w:rFonts w:asciiTheme="majorHAnsi" w:eastAsia="Calibri" w:hAnsiTheme="majorHAnsi"/>
        </w:rPr>
        <w:t xml:space="preserve"> and may have had mental health issues. Headlines in the case described the child as a “vicious killer</w:t>
      </w:r>
      <w:r w:rsidR="00B36852" w:rsidRPr="007C4B78">
        <w:rPr>
          <w:rFonts w:asciiTheme="majorHAnsi" w:eastAsia="Calibri" w:hAnsiTheme="majorHAnsi"/>
        </w:rPr>
        <w:t>.</w:t>
      </w:r>
      <w:r w:rsidRPr="007C4B78">
        <w:rPr>
          <w:rFonts w:asciiTheme="majorHAnsi" w:eastAsia="Calibri" w:hAnsiTheme="majorHAnsi"/>
        </w:rPr>
        <w:t>”</w:t>
      </w:r>
      <w:r w:rsidRPr="007C4B78">
        <w:rPr>
          <w:rStyle w:val="FootnoteReference"/>
          <w:rFonts w:asciiTheme="majorHAnsi" w:eastAsia="Calibri" w:hAnsiTheme="majorHAnsi"/>
        </w:rPr>
        <w:footnoteReference w:id="312"/>
      </w:r>
      <w:r w:rsidRPr="007C4B78">
        <w:rPr>
          <w:rFonts w:asciiTheme="majorHAnsi" w:eastAsia="Calibri" w:hAnsiTheme="majorHAnsi"/>
        </w:rPr>
        <w:t xml:space="preserve"> Much of the reporting focused on the mother of the victim and the loss she suffered</w:t>
      </w:r>
      <w:r w:rsidRPr="007C4B78">
        <w:rPr>
          <w:rStyle w:val="FootnoteReference"/>
          <w:rFonts w:asciiTheme="majorHAnsi" w:eastAsia="Calibri" w:hAnsiTheme="majorHAnsi"/>
        </w:rPr>
        <w:footnoteReference w:id="313"/>
      </w:r>
      <w:r w:rsidRPr="007C4B78">
        <w:rPr>
          <w:rFonts w:asciiTheme="majorHAnsi" w:eastAsia="Calibri" w:hAnsiTheme="majorHAnsi"/>
        </w:rPr>
        <w:t xml:space="preserve"> whereas the mother of the accused was noted to have given birth to the accused out of wedlock</w:t>
      </w:r>
      <w:r w:rsidR="005B1D64" w:rsidRPr="007C4B78">
        <w:rPr>
          <w:rFonts w:asciiTheme="majorHAnsi" w:eastAsia="Calibri" w:hAnsiTheme="majorHAnsi"/>
        </w:rPr>
        <w:t>.</w:t>
      </w:r>
      <w:r w:rsidRPr="007C4B78">
        <w:rPr>
          <w:rStyle w:val="FootnoteReference"/>
          <w:rFonts w:asciiTheme="majorHAnsi" w:eastAsia="Calibri" w:hAnsiTheme="majorHAnsi"/>
        </w:rPr>
        <w:footnoteReference w:id="314"/>
      </w:r>
      <w:r w:rsidRPr="007C4B78">
        <w:rPr>
          <w:rFonts w:asciiTheme="majorHAnsi" w:eastAsia="Calibri" w:hAnsiTheme="majorHAnsi"/>
        </w:rPr>
        <w:t xml:space="preserve"> The trial judge in the case even said to the accused at trial “You have brought shame and disgrace upon your family” before sentencing him to life in prison finding no mitigating circumstance besides the child’s age despite the fact that the judge has the discretion of not imposing a life sentence in the case of children.</w:t>
      </w:r>
      <w:r w:rsidRPr="007C4B78">
        <w:rPr>
          <w:rStyle w:val="FootnoteReference"/>
          <w:rFonts w:asciiTheme="majorHAnsi" w:eastAsia="Calibri" w:hAnsiTheme="majorHAnsi"/>
        </w:rPr>
        <w:footnoteReference w:id="315"/>
      </w:r>
      <w:r w:rsidR="005B1D64" w:rsidRPr="007C4B78">
        <w:rPr>
          <w:rFonts w:asciiTheme="majorHAnsi" w:eastAsia="Calibri" w:hAnsiTheme="majorHAnsi"/>
        </w:rPr>
        <w:t>From the reporting on this case, no support measures seem to have been made available to the child offender to ensure effective participation in the trial or secure access to justice.</w:t>
      </w:r>
    </w:p>
    <w:p w14:paraId="5352B339" w14:textId="77777777" w:rsidR="005B7A9E" w:rsidRPr="007C4B78" w:rsidRDefault="005B7A9E" w:rsidP="004D12C3">
      <w:pPr>
        <w:jc w:val="both"/>
        <w:rPr>
          <w:rFonts w:asciiTheme="majorHAnsi" w:eastAsia="Calibri" w:hAnsiTheme="majorHAnsi"/>
          <w:lang w:val="en-US"/>
        </w:rPr>
      </w:pPr>
    </w:p>
    <w:p w14:paraId="26B2833A" w14:textId="77777777" w:rsidR="00AA4D5F" w:rsidRPr="007C4B78" w:rsidRDefault="00AA4D5F" w:rsidP="004D12C3">
      <w:pPr>
        <w:pStyle w:val="Heading3"/>
        <w:jc w:val="both"/>
      </w:pPr>
      <w:bookmarkStart w:id="47" w:name="_Toc417303173"/>
      <w:r w:rsidRPr="007C4B78">
        <w:t xml:space="preserve">What access to justice for child offenders with cognitive disabilities in court proceedings </w:t>
      </w:r>
      <w:r w:rsidR="00A81702" w:rsidRPr="007C4B78">
        <w:t xml:space="preserve">and </w:t>
      </w:r>
      <w:r w:rsidRPr="007C4B78">
        <w:t>detention would look like</w:t>
      </w:r>
      <w:r w:rsidR="004659B9" w:rsidRPr="007C4B78">
        <w:t>?</w:t>
      </w:r>
      <w:bookmarkEnd w:id="47"/>
    </w:p>
    <w:p w14:paraId="296102AA" w14:textId="77777777" w:rsidR="00AA4D5F" w:rsidRPr="007C4B78" w:rsidRDefault="00AA4D5F" w:rsidP="004D12C3">
      <w:pPr>
        <w:jc w:val="both"/>
      </w:pPr>
    </w:p>
    <w:p w14:paraId="09B00F40" w14:textId="77777777" w:rsidR="00AA4D5F" w:rsidRPr="007C4B78" w:rsidRDefault="00AA4D5F" w:rsidP="004D12C3">
      <w:pPr>
        <w:jc w:val="both"/>
      </w:pPr>
      <w:r w:rsidRPr="007C4B78">
        <w:t xml:space="preserve">Children with cognitive </w:t>
      </w:r>
      <w:r w:rsidR="00464197" w:rsidRPr="007C4B78">
        <w:t xml:space="preserve">disabilities </w:t>
      </w:r>
      <w:r w:rsidR="005B1D64" w:rsidRPr="007C4B78">
        <w:t>sh</w:t>
      </w:r>
      <w:r w:rsidR="00464197" w:rsidRPr="007C4B78">
        <w:t>ould</w:t>
      </w:r>
      <w:r w:rsidRPr="007C4B78">
        <w:t xml:space="preserve"> have access to a legal representative at all stages of </w:t>
      </w:r>
      <w:r w:rsidR="005B1D64" w:rsidRPr="007C4B78">
        <w:t>a criminal</w:t>
      </w:r>
      <w:r w:rsidRPr="007C4B78">
        <w:t xml:space="preserve"> investigation and questioning. </w:t>
      </w:r>
      <w:r w:rsidR="005B1D64" w:rsidRPr="007C4B78">
        <w:t>This representativesh</w:t>
      </w:r>
      <w:r w:rsidRPr="007C4B78">
        <w:t>ould be trained or have access to someone trained in working with children with cognitive disabilities in order to effectively communicate</w:t>
      </w:r>
      <w:r w:rsidR="005B1D64" w:rsidRPr="007C4B78">
        <w:t xml:space="preserve"> with their client</w:t>
      </w:r>
      <w:r w:rsidRPr="007C4B78">
        <w:t>. Garda</w:t>
      </w:r>
      <w:r w:rsidR="005B1D64" w:rsidRPr="007C4B78">
        <w:t>ísh</w:t>
      </w:r>
      <w:r w:rsidRPr="007C4B78">
        <w:t xml:space="preserve">ould also be better trained on interacting with children with cognitive disabilities. Accommodations for child offenders with cognitive disabilities should be available </w:t>
      </w:r>
      <w:r w:rsidR="005B1D64" w:rsidRPr="007C4B78">
        <w:t xml:space="preserve">on an equal basis with victims and offenders </w:t>
      </w:r>
      <w:r w:rsidRPr="007C4B78">
        <w:t xml:space="preserve">and used in court proceedings. Information about the proceedings should be given to the child in a timely and accessible manner. </w:t>
      </w:r>
    </w:p>
    <w:p w14:paraId="4245B569" w14:textId="77777777" w:rsidR="00AA4D5F" w:rsidRPr="007C4B78" w:rsidRDefault="00AA4D5F" w:rsidP="004D12C3">
      <w:pPr>
        <w:jc w:val="both"/>
      </w:pPr>
    </w:p>
    <w:p w14:paraId="074D489A" w14:textId="77777777" w:rsidR="00AA4D5F" w:rsidRPr="007C4B78" w:rsidRDefault="00AA4D5F" w:rsidP="004D12C3">
      <w:pPr>
        <w:jc w:val="both"/>
      </w:pPr>
      <w:r w:rsidRPr="007C4B78">
        <w:t xml:space="preserve">Children with cognitive disabilities in detention with </w:t>
      </w:r>
      <w:r w:rsidR="00305FC1" w:rsidRPr="007C4B78">
        <w:t xml:space="preserve">effective </w:t>
      </w:r>
      <w:r w:rsidRPr="007C4B78">
        <w:t>access to justice would be given accessible and accurate information about their detention, their rights in detention and complaint mechanisms while in detention. Complaint mechanisms would be accessible</w:t>
      </w:r>
      <w:r w:rsidR="00305FC1" w:rsidRPr="007C4B78">
        <w:t>, flexible and easily used by children with cognitive disabilities</w:t>
      </w:r>
      <w:r w:rsidRPr="007C4B78">
        <w:t xml:space="preserve">. Mental health </w:t>
      </w:r>
      <w:r w:rsidR="00305FC1" w:rsidRPr="007C4B78">
        <w:t>supports</w:t>
      </w:r>
      <w:r w:rsidRPr="007C4B78">
        <w:t xml:space="preserve">, reasonable accommodation and other disability services </w:t>
      </w:r>
      <w:r w:rsidR="00305FC1" w:rsidRPr="007C4B78">
        <w:t>sh</w:t>
      </w:r>
      <w:r w:rsidRPr="007C4B78">
        <w:t>ould be</w:t>
      </w:r>
      <w:r w:rsidR="00305FC1" w:rsidRPr="007C4B78">
        <w:t xml:space="preserve"> freely</w:t>
      </w:r>
      <w:r w:rsidRPr="007C4B78">
        <w:t xml:space="preserve"> available</w:t>
      </w:r>
      <w:r w:rsidR="00305FC1" w:rsidRPr="007C4B78">
        <w:t xml:space="preserve"> to all children who may come into contact with the criminal justice system.</w:t>
      </w:r>
    </w:p>
    <w:p w14:paraId="3AE6EC0D" w14:textId="77777777" w:rsidR="00731B5C" w:rsidRPr="007C4B78" w:rsidRDefault="002A1CCC" w:rsidP="004D12C3">
      <w:pPr>
        <w:pStyle w:val="Heading1"/>
        <w:jc w:val="both"/>
      </w:pPr>
      <w:bookmarkStart w:id="48" w:name="_Toc417303174"/>
      <w:r w:rsidRPr="007C4B78">
        <w:lastRenderedPageBreak/>
        <w:t>Conclu</w:t>
      </w:r>
      <w:r w:rsidR="00943DB4" w:rsidRPr="007C4B78">
        <w:t xml:space="preserve">sions and </w:t>
      </w:r>
      <w:r w:rsidRPr="007C4B78">
        <w:t>Recommendation</w:t>
      </w:r>
      <w:r w:rsidR="00943DB4" w:rsidRPr="007C4B78">
        <w:t>s for Reform</w:t>
      </w:r>
      <w:bookmarkEnd w:id="48"/>
    </w:p>
    <w:p w14:paraId="47FA79BA" w14:textId="77777777" w:rsidR="00A71EB4" w:rsidRPr="007C4B78" w:rsidRDefault="00D33EE2" w:rsidP="004D12C3">
      <w:pPr>
        <w:jc w:val="both"/>
      </w:pPr>
      <w:r w:rsidRPr="007C4B78">
        <w:t>At the end of this two year project</w:t>
      </w:r>
      <w:r w:rsidR="002304DD" w:rsidRPr="007C4B78">
        <w:t xml:space="preserve"> amidst much legislative change</w:t>
      </w:r>
      <w:r w:rsidRPr="007C4B78">
        <w:t xml:space="preserve"> for children with cognitive disabilities</w:t>
      </w:r>
      <w:r w:rsidR="002304DD" w:rsidRPr="007C4B78">
        <w:t xml:space="preserve">, we </w:t>
      </w:r>
      <w:r w:rsidR="001423E5" w:rsidRPr="007C4B78">
        <w:t>are pleased</w:t>
      </w:r>
      <w:r w:rsidRPr="007C4B78">
        <w:t xml:space="preserve"> to</w:t>
      </w:r>
      <w:r w:rsidR="001423E5" w:rsidRPr="007C4B78">
        <w:t xml:space="preserve"> see some potential improvement;</w:t>
      </w:r>
      <w:r w:rsidRPr="007C4B78">
        <w:t xml:space="preserve"> while still noting the need for greater change in several key areas.</w:t>
      </w:r>
      <w:r w:rsidR="001423E5" w:rsidRPr="007C4B78">
        <w:t xml:space="preserve"> Our research has found that</w:t>
      </w:r>
      <w:r w:rsidR="00A71EB4" w:rsidRPr="007C4B78">
        <w:t xml:space="preserve"> children with cognitive disabilities remain invisible in the</w:t>
      </w:r>
      <w:r w:rsidR="001423E5" w:rsidRPr="007C4B78">
        <w:t xml:space="preserve"> many of the</w:t>
      </w:r>
      <w:r w:rsidR="00A71EB4" w:rsidRPr="007C4B78">
        <w:t xml:space="preserve"> laws, literature and research</w:t>
      </w:r>
      <w:r w:rsidR="001423E5" w:rsidRPr="007C4B78">
        <w:t xml:space="preserve"> on both children, and people with disabilities</w:t>
      </w:r>
      <w:r w:rsidR="00A71EB4" w:rsidRPr="007C4B78">
        <w:t xml:space="preserve"> in Ireland. It is difficult to fully ascertain the barriers faced by children with cognitive disabilities in Ireland </w:t>
      </w:r>
      <w:r w:rsidR="001423E5" w:rsidRPr="007C4B78">
        <w:t>due to</w:t>
      </w:r>
      <w:r w:rsidR="00CF2414" w:rsidRPr="007C4B78">
        <w:t xml:space="preserve"> </w:t>
      </w:r>
      <w:r w:rsidR="001423E5" w:rsidRPr="007C4B78">
        <w:t>a</w:t>
      </w:r>
      <w:r w:rsidR="00A71EB4" w:rsidRPr="007C4B78">
        <w:t xml:space="preserve"> lack of information</w:t>
      </w:r>
      <w:r w:rsidR="001423E5" w:rsidRPr="007C4B78">
        <w:t>, including data and statistics, reporting and monitoring, as well as qualitative research on these children’s experiences</w:t>
      </w:r>
      <w:r w:rsidR="00A71EB4" w:rsidRPr="007C4B78">
        <w:t xml:space="preserve">. </w:t>
      </w:r>
      <w:r w:rsidR="001423E5" w:rsidRPr="007C4B78">
        <w:t>The</w:t>
      </w:r>
      <w:r w:rsidR="00A71EB4" w:rsidRPr="007C4B78">
        <w:t xml:space="preserve"> information we were able to </w:t>
      </w:r>
      <w:r w:rsidR="001423E5" w:rsidRPr="007C4B78">
        <w:t>obtain through our desk-</w:t>
      </w:r>
      <w:r w:rsidRPr="007C4B78">
        <w:t>based and empirical research on children with cognitive disabilities indicate</w:t>
      </w:r>
      <w:r w:rsidR="001423E5" w:rsidRPr="007C4B78">
        <w:t>s that</w:t>
      </w:r>
      <w:r w:rsidRPr="007C4B78">
        <w:t xml:space="preserve"> they face barriers</w:t>
      </w:r>
      <w:r w:rsidR="001423E5" w:rsidRPr="007C4B78">
        <w:t xml:space="preserve"> in accessing justice</w:t>
      </w:r>
      <w:r w:rsidRPr="007C4B78">
        <w:t xml:space="preserve"> related to both age and disability. Access to justice for children wi</w:t>
      </w:r>
      <w:r w:rsidR="001423E5" w:rsidRPr="007C4B78">
        <w:t>th cognitive disabilities in Ireland still seems</w:t>
      </w:r>
      <w:r w:rsidRPr="007C4B78">
        <w:t xml:space="preserve"> to depend on the good </w:t>
      </w:r>
      <w:r w:rsidR="001423E5" w:rsidRPr="007C4B78">
        <w:t>will</w:t>
      </w:r>
      <w:r w:rsidRPr="007C4B78">
        <w:t xml:space="preserve"> of individuals rather than </w:t>
      </w:r>
      <w:proofErr w:type="gramStart"/>
      <w:r w:rsidRPr="007C4B78">
        <w:t>an awareness</w:t>
      </w:r>
      <w:proofErr w:type="gramEnd"/>
      <w:r w:rsidRPr="007C4B78">
        <w:t xml:space="preserve"> that such access </w:t>
      </w:r>
      <w:r w:rsidR="001423E5" w:rsidRPr="007C4B78">
        <w:t>should be available as a fundamental human right</w:t>
      </w:r>
      <w:r w:rsidRPr="007C4B78">
        <w:t>.</w:t>
      </w:r>
    </w:p>
    <w:p w14:paraId="6F1CA797" w14:textId="77777777" w:rsidR="00A71EB4" w:rsidRPr="007C4B78" w:rsidRDefault="00A71EB4" w:rsidP="004D12C3">
      <w:pPr>
        <w:jc w:val="both"/>
      </w:pPr>
    </w:p>
    <w:p w14:paraId="39562F96" w14:textId="77777777" w:rsidR="00731B5C" w:rsidRPr="007C4B78" w:rsidRDefault="00A71EB4" w:rsidP="004D12C3">
      <w:pPr>
        <w:jc w:val="both"/>
        <w:rPr>
          <w:lang w:val="en-US"/>
        </w:rPr>
      </w:pPr>
      <w:r w:rsidRPr="007C4B78">
        <w:t>Overall</w:t>
      </w:r>
      <w:r w:rsidR="001423E5" w:rsidRPr="007C4B78">
        <w:t>,</w:t>
      </w:r>
      <w:r w:rsidRPr="007C4B78">
        <w:t xml:space="preserve"> more concrete steps</w:t>
      </w:r>
      <w:r w:rsidR="001423E5" w:rsidRPr="007C4B78">
        <w:t xml:space="preserve"> must be</w:t>
      </w:r>
      <w:r w:rsidRPr="007C4B78">
        <w:t xml:space="preserve"> taken towards the facilitation of the participation of children </w:t>
      </w:r>
      <w:r w:rsidR="001423E5" w:rsidRPr="007C4B78">
        <w:t xml:space="preserve">with cognitive disabilities </w:t>
      </w:r>
      <w:r w:rsidRPr="007C4B78">
        <w:t>in civil, criminal and administrative proceedings. Data collection on children (child victims especially) that involves disaggregation on the basis of disability needs to be increased in order to ensure</w:t>
      </w:r>
      <w:r w:rsidR="001423E5" w:rsidRPr="007C4B78">
        <w:t xml:space="preserve"> effective monitoring of access to justice for all</w:t>
      </w:r>
      <w:r w:rsidRPr="007C4B78">
        <w:t xml:space="preserve"> children in Ireland. </w:t>
      </w:r>
      <w:r w:rsidR="001423E5" w:rsidRPr="007C4B78">
        <w:t>T</w:t>
      </w:r>
      <w:r w:rsidRPr="007C4B78">
        <w:t>raining of professionals (especially legal professionals)</w:t>
      </w:r>
      <w:r w:rsidR="001423E5" w:rsidRPr="007C4B78">
        <w:t xml:space="preserve"> is vital; and should</w:t>
      </w:r>
      <w:r w:rsidR="00CF2414" w:rsidRPr="007C4B78">
        <w:t xml:space="preserve"> </w:t>
      </w:r>
      <w:r w:rsidR="001423E5" w:rsidRPr="007C4B78">
        <w:t>focus on</w:t>
      </w:r>
      <w:r w:rsidRPr="007C4B78">
        <w:t xml:space="preserve"> how to work with children, regardless of disability, and facilitate their participation</w:t>
      </w:r>
      <w:r w:rsidR="001423E5" w:rsidRPr="007C4B78">
        <w:t xml:space="preserve"> in a wide variety of legal proceedings and decisions made about the child’s life</w:t>
      </w:r>
      <w:r w:rsidRPr="007C4B78">
        <w:t>. Finally</w:t>
      </w:r>
      <w:r w:rsidR="001423E5" w:rsidRPr="007C4B78">
        <w:t>,</w:t>
      </w:r>
      <w:r w:rsidRPr="007C4B78">
        <w:t xml:space="preserve"> the government needs to ratify the </w:t>
      </w:r>
      <w:r w:rsidR="001423E5" w:rsidRPr="007C4B78">
        <w:t xml:space="preserve">UN </w:t>
      </w:r>
      <w:r w:rsidRPr="007C4B78">
        <w:t>CRPD in o</w:t>
      </w:r>
      <w:r w:rsidR="001423E5" w:rsidRPr="007C4B78">
        <w:t>rder to better ensure the full realisation</w:t>
      </w:r>
      <w:r w:rsidRPr="007C4B78">
        <w:t xml:space="preserve"> of rights for children with cognitive disabilities in Ireland.</w:t>
      </w:r>
      <w:r w:rsidR="004A4AE7" w:rsidRPr="007C4B78">
        <w:t xml:space="preserve"> The following sections summarise our core recommendations in each of the three focus areas of the report.</w:t>
      </w:r>
    </w:p>
    <w:p w14:paraId="3A6C5E57" w14:textId="77777777" w:rsidR="00731B5C" w:rsidRPr="007C4B78" w:rsidRDefault="003A6ED1" w:rsidP="004D12C3">
      <w:pPr>
        <w:pStyle w:val="Heading2"/>
        <w:jc w:val="both"/>
        <w:rPr>
          <w:rFonts w:asciiTheme="majorHAnsi" w:hAnsiTheme="majorHAnsi"/>
        </w:rPr>
      </w:pPr>
      <w:bookmarkStart w:id="49" w:name="_Toc417303175"/>
      <w:r w:rsidRPr="007C4B78">
        <w:rPr>
          <w:rFonts w:asciiTheme="majorHAnsi" w:hAnsiTheme="majorHAnsi"/>
        </w:rPr>
        <w:t>Education and Access to Justice</w:t>
      </w:r>
      <w:bookmarkEnd w:id="49"/>
    </w:p>
    <w:p w14:paraId="6A6C0911" w14:textId="77777777" w:rsidR="00731B5C" w:rsidRPr="007C4B78" w:rsidRDefault="00731B5C" w:rsidP="004D12C3">
      <w:pPr>
        <w:tabs>
          <w:tab w:val="left" w:pos="680"/>
        </w:tabs>
        <w:jc w:val="both"/>
        <w:rPr>
          <w:rFonts w:asciiTheme="majorHAnsi" w:eastAsia="Arial" w:hAnsiTheme="majorHAnsi" w:cs="Arial"/>
        </w:rPr>
      </w:pPr>
      <w:r w:rsidRPr="007C4B78">
        <w:rPr>
          <w:rFonts w:asciiTheme="majorHAnsi" w:eastAsia="Arial" w:hAnsiTheme="majorHAnsi" w:cs="Arial"/>
        </w:rPr>
        <w:t>It was abundantly clear in speaking with parents that the appeals and redress</w:t>
      </w:r>
      <w:r w:rsidR="001423E5" w:rsidRPr="007C4B78">
        <w:rPr>
          <w:rFonts w:asciiTheme="majorHAnsi" w:eastAsia="Arial" w:hAnsiTheme="majorHAnsi" w:cs="Arial"/>
        </w:rPr>
        <w:t xml:space="preserve"> systems for challenging decisions about educational provision</w:t>
      </w:r>
      <w:r w:rsidRPr="007C4B78">
        <w:rPr>
          <w:rFonts w:asciiTheme="majorHAnsi" w:eastAsia="Arial" w:hAnsiTheme="majorHAnsi" w:cs="Arial"/>
        </w:rPr>
        <w:t xml:space="preserve"> are not effective for children with </w:t>
      </w:r>
      <w:r w:rsidR="00CF0F5B" w:rsidRPr="007C4B78">
        <w:rPr>
          <w:rFonts w:asciiTheme="majorHAnsi" w:eastAsia="Arial" w:hAnsiTheme="majorHAnsi" w:cs="Arial"/>
        </w:rPr>
        <w:t>cognitive disabilities</w:t>
      </w:r>
      <w:r w:rsidRPr="007C4B78">
        <w:rPr>
          <w:rFonts w:asciiTheme="majorHAnsi" w:eastAsia="Arial" w:hAnsiTheme="majorHAnsi" w:cs="Arial"/>
        </w:rPr>
        <w:t xml:space="preserve"> and their parents</w:t>
      </w:r>
      <w:r w:rsidR="001423E5" w:rsidRPr="007C4B78">
        <w:rPr>
          <w:rFonts w:asciiTheme="majorHAnsi" w:eastAsia="Arial" w:hAnsiTheme="majorHAnsi" w:cs="Arial"/>
        </w:rPr>
        <w:t xml:space="preserve"> who advocate on their behalf</w:t>
      </w:r>
      <w:r w:rsidRPr="007C4B78">
        <w:rPr>
          <w:rFonts w:asciiTheme="majorHAnsi" w:eastAsia="Arial" w:hAnsiTheme="majorHAnsi" w:cs="Arial"/>
        </w:rPr>
        <w:t>. Multiple parents perceived retaliatory action against them once they had questioned or appealed a decision.</w:t>
      </w:r>
    </w:p>
    <w:p w14:paraId="4DA4CCBB" w14:textId="77777777" w:rsidR="00731B5C" w:rsidRPr="007C4B78" w:rsidRDefault="00731B5C" w:rsidP="004D12C3">
      <w:pPr>
        <w:tabs>
          <w:tab w:val="left" w:pos="680"/>
        </w:tabs>
        <w:jc w:val="both"/>
        <w:rPr>
          <w:rFonts w:asciiTheme="majorHAnsi" w:eastAsia="Arial" w:hAnsiTheme="majorHAnsi" w:cs="Arial"/>
        </w:rPr>
      </w:pPr>
    </w:p>
    <w:p w14:paraId="464F0FEE" w14:textId="77777777" w:rsidR="00731B5C" w:rsidRPr="007C4B78" w:rsidRDefault="00731B5C" w:rsidP="004D12C3">
      <w:pPr>
        <w:tabs>
          <w:tab w:val="left" w:pos="680"/>
        </w:tabs>
        <w:jc w:val="both"/>
        <w:rPr>
          <w:rFonts w:asciiTheme="majorHAnsi" w:eastAsia="Arial" w:hAnsiTheme="majorHAnsi" w:cs="Arial"/>
        </w:rPr>
      </w:pPr>
      <w:r w:rsidRPr="007C4B78">
        <w:rPr>
          <w:rFonts w:asciiTheme="majorHAnsi" w:eastAsia="Arial" w:hAnsiTheme="majorHAnsi" w:cs="Arial"/>
        </w:rPr>
        <w:t>There are not enough s</w:t>
      </w:r>
      <w:r w:rsidR="001423E5" w:rsidRPr="007C4B78">
        <w:rPr>
          <w:rFonts w:asciiTheme="majorHAnsi" w:eastAsia="Arial" w:hAnsiTheme="majorHAnsi" w:cs="Arial"/>
        </w:rPr>
        <w:t>upports</w:t>
      </w:r>
      <w:r w:rsidRPr="007C4B78">
        <w:rPr>
          <w:rFonts w:asciiTheme="majorHAnsi" w:eastAsia="Arial" w:hAnsiTheme="majorHAnsi" w:cs="Arial"/>
        </w:rPr>
        <w:t xml:space="preserve"> available to children with </w:t>
      </w:r>
      <w:r w:rsidR="00CF0F5B" w:rsidRPr="007C4B78">
        <w:rPr>
          <w:rFonts w:asciiTheme="majorHAnsi" w:eastAsia="Arial" w:hAnsiTheme="majorHAnsi" w:cs="Arial"/>
        </w:rPr>
        <w:t>cognitive disabilities</w:t>
      </w:r>
      <w:r w:rsidRPr="007C4B78">
        <w:rPr>
          <w:rFonts w:asciiTheme="majorHAnsi" w:eastAsia="Arial" w:hAnsiTheme="majorHAnsi" w:cs="Arial"/>
        </w:rPr>
        <w:t xml:space="preserve"> in Ireland to fully enable equal access to</w:t>
      </w:r>
      <w:r w:rsidR="001423E5" w:rsidRPr="007C4B78">
        <w:rPr>
          <w:rFonts w:asciiTheme="majorHAnsi" w:eastAsia="Arial" w:hAnsiTheme="majorHAnsi" w:cs="Arial"/>
        </w:rPr>
        <w:t xml:space="preserve"> inclusive</w:t>
      </w:r>
      <w:r w:rsidRPr="007C4B78">
        <w:rPr>
          <w:rFonts w:asciiTheme="majorHAnsi" w:eastAsia="Arial" w:hAnsiTheme="majorHAnsi" w:cs="Arial"/>
        </w:rPr>
        <w:t xml:space="preserve"> education.  </w:t>
      </w:r>
      <w:r w:rsidR="004A4AE7" w:rsidRPr="007C4B78">
        <w:rPr>
          <w:rFonts w:asciiTheme="majorHAnsi" w:eastAsia="Arial" w:hAnsiTheme="majorHAnsi" w:cs="Arial"/>
        </w:rPr>
        <w:t>Even where children access supports</w:t>
      </w:r>
      <w:r w:rsidRPr="007C4B78">
        <w:rPr>
          <w:rFonts w:asciiTheme="majorHAnsi" w:eastAsia="Arial" w:hAnsiTheme="majorHAnsi" w:cs="Arial"/>
        </w:rPr>
        <w:t xml:space="preserve"> and improve</w:t>
      </w:r>
      <w:r w:rsidR="004A4AE7" w:rsidRPr="007C4B78">
        <w:rPr>
          <w:rFonts w:asciiTheme="majorHAnsi" w:eastAsia="Arial" w:hAnsiTheme="majorHAnsi" w:cs="Arial"/>
        </w:rPr>
        <w:t xml:space="preserve"> their educational performance, parents reported that these supports </w:t>
      </w:r>
      <w:proofErr w:type="gramStart"/>
      <w:r w:rsidR="004A4AE7" w:rsidRPr="007C4B78">
        <w:rPr>
          <w:rFonts w:asciiTheme="majorHAnsi" w:eastAsia="Arial" w:hAnsiTheme="majorHAnsi" w:cs="Arial"/>
        </w:rPr>
        <w:t>can</w:t>
      </w:r>
      <w:proofErr w:type="gramEnd"/>
      <w:r w:rsidR="004A4AE7" w:rsidRPr="007C4B78">
        <w:rPr>
          <w:rFonts w:asciiTheme="majorHAnsi" w:eastAsia="Arial" w:hAnsiTheme="majorHAnsi" w:cs="Arial"/>
        </w:rPr>
        <w:t xml:space="preserve"> subsequently be removed and </w:t>
      </w:r>
      <w:r w:rsidRPr="007C4B78">
        <w:rPr>
          <w:rFonts w:asciiTheme="majorHAnsi" w:eastAsia="Arial" w:hAnsiTheme="majorHAnsi" w:cs="Arial"/>
        </w:rPr>
        <w:t>given to “needier” cases.</w:t>
      </w:r>
    </w:p>
    <w:p w14:paraId="6222E9D0" w14:textId="77777777" w:rsidR="00731B5C" w:rsidRPr="007C4B78" w:rsidRDefault="00731B5C" w:rsidP="004D12C3">
      <w:pPr>
        <w:tabs>
          <w:tab w:val="left" w:pos="680"/>
        </w:tabs>
        <w:jc w:val="both"/>
        <w:rPr>
          <w:rFonts w:asciiTheme="majorHAnsi" w:eastAsia="Arial" w:hAnsiTheme="majorHAnsi" w:cs="Arial"/>
        </w:rPr>
      </w:pPr>
    </w:p>
    <w:p w14:paraId="7070ADEC" w14:textId="77777777" w:rsidR="00731B5C" w:rsidRPr="007C4B78" w:rsidRDefault="00731B5C" w:rsidP="004D12C3">
      <w:pPr>
        <w:tabs>
          <w:tab w:val="left" w:pos="680"/>
        </w:tabs>
        <w:jc w:val="both"/>
        <w:rPr>
          <w:rFonts w:asciiTheme="majorHAnsi" w:eastAsia="Arial" w:hAnsiTheme="majorHAnsi" w:cs="Arial"/>
        </w:rPr>
      </w:pPr>
      <w:r w:rsidRPr="007C4B78">
        <w:rPr>
          <w:rFonts w:asciiTheme="majorHAnsi" w:eastAsia="Arial" w:hAnsiTheme="majorHAnsi" w:cs="Arial"/>
        </w:rPr>
        <w:t xml:space="preserve">Several parents described problems they had in getting their children accepted into mainstream schools or once in mainstream schools having their child fully included in the same activities as other children. Access to education </w:t>
      </w:r>
      <w:r w:rsidR="004A4AE7" w:rsidRPr="007C4B78">
        <w:rPr>
          <w:rFonts w:asciiTheme="majorHAnsi" w:eastAsia="Arial" w:hAnsiTheme="majorHAnsi" w:cs="Arial"/>
        </w:rPr>
        <w:t>seems</w:t>
      </w:r>
      <w:r w:rsidRPr="007C4B78">
        <w:rPr>
          <w:rFonts w:asciiTheme="majorHAnsi" w:eastAsia="Arial" w:hAnsiTheme="majorHAnsi" w:cs="Arial"/>
        </w:rPr>
        <w:t xml:space="preserve"> even harder to </w:t>
      </w:r>
      <w:r w:rsidR="004A4AE7" w:rsidRPr="007C4B78">
        <w:rPr>
          <w:rFonts w:asciiTheme="majorHAnsi" w:eastAsia="Arial" w:hAnsiTheme="majorHAnsi" w:cs="Arial"/>
        </w:rPr>
        <w:t xml:space="preserve">achieve </w:t>
      </w:r>
      <w:r w:rsidRPr="007C4B78">
        <w:rPr>
          <w:rFonts w:asciiTheme="majorHAnsi" w:eastAsia="Arial" w:hAnsiTheme="majorHAnsi" w:cs="Arial"/>
        </w:rPr>
        <w:t xml:space="preserve">for older teenagers </w:t>
      </w:r>
      <w:r w:rsidR="00464197" w:rsidRPr="007C4B78">
        <w:rPr>
          <w:rFonts w:asciiTheme="majorHAnsi" w:eastAsia="Arial" w:hAnsiTheme="majorHAnsi" w:cs="Arial"/>
        </w:rPr>
        <w:t>than younger</w:t>
      </w:r>
      <w:r w:rsidRPr="007C4B78">
        <w:rPr>
          <w:rFonts w:asciiTheme="majorHAnsi" w:eastAsia="Arial" w:hAnsiTheme="majorHAnsi" w:cs="Arial"/>
        </w:rPr>
        <w:t xml:space="preserve"> children in primary school.</w:t>
      </w:r>
    </w:p>
    <w:p w14:paraId="2DCD1D03" w14:textId="77777777" w:rsidR="00731B5C" w:rsidRPr="007C4B78" w:rsidRDefault="00731B5C" w:rsidP="004D12C3">
      <w:pPr>
        <w:tabs>
          <w:tab w:val="left" w:pos="680"/>
        </w:tabs>
        <w:jc w:val="both"/>
        <w:rPr>
          <w:rFonts w:asciiTheme="majorHAnsi" w:eastAsia="Arial" w:hAnsiTheme="majorHAnsi" w:cs="Arial"/>
        </w:rPr>
      </w:pPr>
    </w:p>
    <w:p w14:paraId="30DED3AF" w14:textId="77777777" w:rsidR="00731B5C" w:rsidRPr="007C4B78" w:rsidRDefault="00731B5C" w:rsidP="004D12C3">
      <w:pPr>
        <w:tabs>
          <w:tab w:val="left" w:pos="680"/>
        </w:tabs>
        <w:jc w:val="both"/>
        <w:rPr>
          <w:rFonts w:asciiTheme="majorHAnsi" w:eastAsia="Arial" w:hAnsiTheme="majorHAnsi" w:cs="Arial"/>
        </w:rPr>
      </w:pPr>
      <w:r w:rsidRPr="007C4B78">
        <w:rPr>
          <w:rFonts w:asciiTheme="majorHAnsi" w:eastAsia="Arial" w:hAnsiTheme="majorHAnsi" w:cs="Arial"/>
        </w:rPr>
        <w:t xml:space="preserve">In general there is a lack of accessible extra curricular activities for children with </w:t>
      </w:r>
      <w:r w:rsidR="00CF0F5B" w:rsidRPr="007C4B78">
        <w:rPr>
          <w:rFonts w:asciiTheme="majorHAnsi" w:eastAsia="Arial" w:hAnsiTheme="majorHAnsi" w:cs="Arial"/>
        </w:rPr>
        <w:t>cognitive disabilities</w:t>
      </w:r>
      <w:r w:rsidRPr="007C4B78">
        <w:rPr>
          <w:rFonts w:asciiTheme="majorHAnsi" w:eastAsia="Arial" w:hAnsiTheme="majorHAnsi" w:cs="Arial"/>
        </w:rPr>
        <w:t xml:space="preserve">. </w:t>
      </w:r>
    </w:p>
    <w:p w14:paraId="6F6BA103" w14:textId="77777777" w:rsidR="00731B5C" w:rsidRPr="007C4B78" w:rsidRDefault="00731B5C" w:rsidP="004D12C3">
      <w:pPr>
        <w:tabs>
          <w:tab w:val="left" w:pos="680"/>
        </w:tabs>
        <w:jc w:val="both"/>
        <w:rPr>
          <w:rFonts w:asciiTheme="majorHAnsi" w:eastAsia="Arial" w:hAnsiTheme="majorHAnsi" w:cs="Arial"/>
        </w:rPr>
      </w:pPr>
    </w:p>
    <w:p w14:paraId="0F0CD206" w14:textId="77777777" w:rsidR="00731B5C" w:rsidRPr="007C4B78" w:rsidRDefault="00731B5C" w:rsidP="004D12C3">
      <w:pPr>
        <w:tabs>
          <w:tab w:val="left" w:pos="680"/>
        </w:tabs>
        <w:jc w:val="both"/>
        <w:rPr>
          <w:rFonts w:asciiTheme="majorHAnsi" w:eastAsia="Arial" w:hAnsiTheme="majorHAnsi" w:cs="Arial"/>
        </w:rPr>
      </w:pPr>
      <w:r w:rsidRPr="007C4B78">
        <w:rPr>
          <w:rFonts w:asciiTheme="majorHAnsi" w:eastAsia="Arial" w:hAnsiTheme="majorHAnsi" w:cs="Arial"/>
        </w:rPr>
        <w:lastRenderedPageBreak/>
        <w:t xml:space="preserve">The </w:t>
      </w:r>
      <w:r w:rsidR="004A4AE7" w:rsidRPr="007C4B78">
        <w:rPr>
          <w:rFonts w:asciiTheme="majorHAnsi" w:eastAsia="Arial" w:hAnsiTheme="majorHAnsi" w:cs="Arial"/>
        </w:rPr>
        <w:t>process of assessing educational need</w:t>
      </w:r>
      <w:r w:rsidRPr="007C4B78">
        <w:rPr>
          <w:rFonts w:asciiTheme="majorHAnsi" w:eastAsia="Arial" w:hAnsiTheme="majorHAnsi" w:cs="Arial"/>
        </w:rPr>
        <w:t xml:space="preserve"> in Ireland </w:t>
      </w:r>
      <w:r w:rsidR="004A4AE7" w:rsidRPr="007C4B78">
        <w:rPr>
          <w:rFonts w:asciiTheme="majorHAnsi" w:eastAsia="Arial" w:hAnsiTheme="majorHAnsi" w:cs="Arial"/>
        </w:rPr>
        <w:t>focuses</w:t>
      </w:r>
      <w:r w:rsidRPr="007C4B78">
        <w:rPr>
          <w:rFonts w:asciiTheme="majorHAnsi" w:eastAsia="Arial" w:hAnsiTheme="majorHAnsi" w:cs="Arial"/>
        </w:rPr>
        <w:t xml:space="preserve"> on diagnosis and deficits</w:t>
      </w:r>
      <w:r w:rsidR="004A4AE7" w:rsidRPr="007C4B78">
        <w:rPr>
          <w:rFonts w:asciiTheme="majorHAnsi" w:eastAsia="Arial" w:hAnsiTheme="majorHAnsi" w:cs="Arial"/>
        </w:rPr>
        <w:t>,</w:t>
      </w:r>
      <w:r w:rsidRPr="007C4B78">
        <w:rPr>
          <w:rFonts w:asciiTheme="majorHAnsi" w:eastAsia="Arial" w:hAnsiTheme="majorHAnsi" w:cs="Arial"/>
        </w:rPr>
        <w:t xml:space="preserve"> instead of looking at</w:t>
      </w:r>
      <w:r w:rsidR="004A4AE7" w:rsidRPr="007C4B78">
        <w:rPr>
          <w:rFonts w:asciiTheme="majorHAnsi" w:eastAsia="Arial" w:hAnsiTheme="majorHAnsi" w:cs="Arial"/>
        </w:rPr>
        <w:t xml:space="preserve"> the</w:t>
      </w:r>
      <w:r w:rsidRPr="007C4B78">
        <w:rPr>
          <w:rFonts w:asciiTheme="majorHAnsi" w:eastAsia="Arial" w:hAnsiTheme="majorHAnsi" w:cs="Arial"/>
        </w:rPr>
        <w:t xml:space="preserve"> actual needs of the child, encouraging improvement and celebrating gains. </w:t>
      </w:r>
    </w:p>
    <w:p w14:paraId="79E1F33D" w14:textId="77777777" w:rsidR="00731B5C" w:rsidRPr="007C4B78" w:rsidRDefault="00731B5C" w:rsidP="004D12C3">
      <w:pPr>
        <w:tabs>
          <w:tab w:val="left" w:pos="680"/>
        </w:tabs>
        <w:jc w:val="both"/>
        <w:rPr>
          <w:rFonts w:asciiTheme="majorHAnsi" w:eastAsia="Arial" w:hAnsiTheme="majorHAnsi" w:cs="Arial"/>
        </w:rPr>
      </w:pPr>
    </w:p>
    <w:p w14:paraId="6C3D5ACD" w14:textId="77777777" w:rsidR="00731B5C" w:rsidRPr="007C4B78" w:rsidRDefault="004A4AE7" w:rsidP="004D12C3">
      <w:pPr>
        <w:tabs>
          <w:tab w:val="left" w:pos="680"/>
        </w:tabs>
        <w:jc w:val="both"/>
        <w:rPr>
          <w:rFonts w:asciiTheme="majorHAnsi" w:eastAsia="Arial" w:hAnsiTheme="majorHAnsi" w:cs="Arial"/>
        </w:rPr>
      </w:pPr>
      <w:r w:rsidRPr="007C4B78">
        <w:rPr>
          <w:rFonts w:asciiTheme="majorHAnsi" w:eastAsia="Arial" w:hAnsiTheme="majorHAnsi" w:cs="Arial"/>
        </w:rPr>
        <w:t>The ESPEN A</w:t>
      </w:r>
      <w:r w:rsidR="00731B5C" w:rsidRPr="007C4B78">
        <w:rPr>
          <w:rFonts w:asciiTheme="majorHAnsi" w:eastAsia="Arial" w:hAnsiTheme="majorHAnsi" w:cs="Arial"/>
        </w:rPr>
        <w:t xml:space="preserve">ct </w:t>
      </w:r>
      <w:r w:rsidRPr="007C4B78">
        <w:rPr>
          <w:rFonts w:asciiTheme="majorHAnsi" w:eastAsia="Arial" w:hAnsiTheme="majorHAnsi" w:cs="Arial"/>
        </w:rPr>
        <w:t>has the potential</w:t>
      </w:r>
      <w:r w:rsidR="00731B5C" w:rsidRPr="007C4B78">
        <w:rPr>
          <w:rFonts w:asciiTheme="majorHAnsi" w:eastAsia="Arial" w:hAnsiTheme="majorHAnsi" w:cs="Arial"/>
        </w:rPr>
        <w:t xml:space="preserve"> to further children with </w:t>
      </w:r>
      <w:r w:rsidR="00CF0F5B" w:rsidRPr="007C4B78">
        <w:rPr>
          <w:rFonts w:asciiTheme="majorHAnsi" w:eastAsia="Arial" w:hAnsiTheme="majorHAnsi" w:cs="Arial"/>
        </w:rPr>
        <w:t>cognitive disabilities</w:t>
      </w:r>
      <w:r w:rsidRPr="007C4B78">
        <w:rPr>
          <w:rFonts w:asciiTheme="majorHAnsi" w:eastAsia="Arial" w:hAnsiTheme="majorHAnsi" w:cs="Arial"/>
        </w:rPr>
        <w:t>’</w:t>
      </w:r>
      <w:r w:rsidR="00731B5C" w:rsidRPr="007C4B78">
        <w:rPr>
          <w:rFonts w:asciiTheme="majorHAnsi" w:eastAsia="Arial" w:hAnsiTheme="majorHAnsi" w:cs="Arial"/>
        </w:rPr>
        <w:t xml:space="preserve"> ability to access education</w:t>
      </w:r>
      <w:r w:rsidRPr="007C4B78">
        <w:rPr>
          <w:rFonts w:asciiTheme="majorHAnsi" w:eastAsia="Arial" w:hAnsiTheme="majorHAnsi" w:cs="Arial"/>
        </w:rPr>
        <w:t>, but</w:t>
      </w:r>
      <w:r w:rsidR="00731B5C" w:rsidRPr="007C4B78">
        <w:rPr>
          <w:rFonts w:asciiTheme="majorHAnsi" w:eastAsia="Arial" w:hAnsiTheme="majorHAnsi" w:cs="Arial"/>
        </w:rPr>
        <w:t xml:space="preserve"> has not been fully implemented.</w:t>
      </w:r>
    </w:p>
    <w:p w14:paraId="08D15D31" w14:textId="77777777" w:rsidR="00731B5C" w:rsidRPr="007C4B78" w:rsidRDefault="00731B5C" w:rsidP="004D12C3">
      <w:pPr>
        <w:tabs>
          <w:tab w:val="left" w:pos="680"/>
        </w:tabs>
        <w:jc w:val="both"/>
        <w:rPr>
          <w:rFonts w:asciiTheme="majorHAnsi" w:eastAsia="Arial" w:hAnsiTheme="majorHAnsi" w:cs="Arial"/>
        </w:rPr>
      </w:pPr>
    </w:p>
    <w:p w14:paraId="62F0D7DF" w14:textId="77777777" w:rsidR="00731B5C" w:rsidRPr="007C4B78" w:rsidRDefault="00731B5C" w:rsidP="004D12C3">
      <w:pPr>
        <w:tabs>
          <w:tab w:val="left" w:pos="680"/>
        </w:tabs>
        <w:jc w:val="both"/>
        <w:rPr>
          <w:rFonts w:asciiTheme="majorHAnsi" w:eastAsia="Arial" w:hAnsiTheme="majorHAnsi" w:cs="Arial"/>
        </w:rPr>
      </w:pPr>
      <w:r w:rsidRPr="007C4B78">
        <w:rPr>
          <w:rFonts w:asciiTheme="majorHAnsi" w:eastAsia="Arial" w:hAnsiTheme="majorHAnsi" w:cs="Arial"/>
        </w:rPr>
        <w:t xml:space="preserve">There are also no guidelines on how children are involved in </w:t>
      </w:r>
      <w:r w:rsidR="004A4AE7" w:rsidRPr="007C4B78">
        <w:rPr>
          <w:rFonts w:asciiTheme="majorHAnsi" w:eastAsia="Arial" w:hAnsiTheme="majorHAnsi" w:cs="Arial"/>
        </w:rPr>
        <w:t>decisions about educational supports or provision,</w:t>
      </w:r>
      <w:r w:rsidRPr="007C4B78">
        <w:rPr>
          <w:rFonts w:asciiTheme="majorHAnsi" w:eastAsia="Arial" w:hAnsiTheme="majorHAnsi" w:cs="Arial"/>
        </w:rPr>
        <w:t xml:space="preserve"> though it must be noted that many of the cases deal with very young children.</w:t>
      </w:r>
    </w:p>
    <w:p w14:paraId="4C967342" w14:textId="77777777" w:rsidR="00D35770" w:rsidRPr="007C4B78" w:rsidRDefault="00D35770" w:rsidP="004D12C3">
      <w:pPr>
        <w:pStyle w:val="Heading2"/>
        <w:jc w:val="both"/>
        <w:rPr>
          <w:rFonts w:asciiTheme="majorHAnsi" w:hAnsiTheme="majorHAnsi"/>
        </w:rPr>
      </w:pPr>
      <w:bookmarkStart w:id="50" w:name="_Toc417303176"/>
      <w:r w:rsidRPr="007C4B78">
        <w:rPr>
          <w:rFonts w:asciiTheme="majorHAnsi" w:hAnsiTheme="majorHAnsi"/>
        </w:rPr>
        <w:t>Care and Custody Proceedings</w:t>
      </w:r>
      <w:bookmarkEnd w:id="50"/>
    </w:p>
    <w:p w14:paraId="42D07E5F" w14:textId="77777777" w:rsidR="00D35770" w:rsidRPr="007C4B78" w:rsidRDefault="00D35770" w:rsidP="004D12C3">
      <w:pPr>
        <w:tabs>
          <w:tab w:val="left" w:pos="680"/>
        </w:tabs>
        <w:jc w:val="both"/>
        <w:rPr>
          <w:rFonts w:asciiTheme="majorHAnsi" w:eastAsia="Arial" w:hAnsiTheme="majorHAnsi" w:cs="Arial"/>
        </w:rPr>
      </w:pPr>
      <w:r w:rsidRPr="007C4B78">
        <w:rPr>
          <w:rFonts w:asciiTheme="majorHAnsi" w:eastAsia="Arial" w:hAnsiTheme="majorHAnsi" w:cs="Arial"/>
        </w:rPr>
        <w:t>There is a lack of information on care and custody proceedings in Ireland though that is slowly changing. It is difficult to determine what the barriers are for children with cognitive disabilities in such proceedings given the paucity of information.</w:t>
      </w:r>
    </w:p>
    <w:p w14:paraId="538CE2B8" w14:textId="77777777" w:rsidR="00D35770" w:rsidRPr="007C4B78" w:rsidRDefault="00D35770" w:rsidP="004D12C3">
      <w:pPr>
        <w:tabs>
          <w:tab w:val="left" w:pos="680"/>
        </w:tabs>
        <w:jc w:val="both"/>
        <w:rPr>
          <w:rFonts w:asciiTheme="majorHAnsi" w:eastAsia="Arial" w:hAnsiTheme="majorHAnsi" w:cs="Arial"/>
        </w:rPr>
      </w:pPr>
    </w:p>
    <w:p w14:paraId="5EE28F5F" w14:textId="77777777" w:rsidR="00D35770" w:rsidRPr="007C4B78" w:rsidRDefault="00D35770" w:rsidP="004D12C3">
      <w:pPr>
        <w:tabs>
          <w:tab w:val="left" w:pos="680"/>
        </w:tabs>
        <w:jc w:val="both"/>
        <w:rPr>
          <w:rFonts w:asciiTheme="majorHAnsi" w:eastAsia="Arial" w:hAnsiTheme="majorHAnsi" w:cs="Arial"/>
        </w:rPr>
      </w:pPr>
      <w:r w:rsidRPr="007C4B78">
        <w:rPr>
          <w:rFonts w:asciiTheme="majorHAnsi" w:eastAsia="Arial" w:hAnsiTheme="majorHAnsi" w:cs="Arial"/>
        </w:rPr>
        <w:t>There is some evidence that in care proceedings in general that the statements of children when heard are not weighed equally, statements of abuse or poor parental behaviour are deemed true while statements of wanting to stay with the parent are not given the same weight.</w:t>
      </w:r>
      <w:r w:rsidRPr="007C4B78">
        <w:rPr>
          <w:rStyle w:val="FootnoteReference"/>
          <w:rFonts w:asciiTheme="majorHAnsi" w:eastAsia="Arial" w:hAnsiTheme="majorHAnsi" w:cs="Arial"/>
        </w:rPr>
        <w:footnoteReference w:id="316"/>
      </w:r>
    </w:p>
    <w:p w14:paraId="34A32A3F" w14:textId="77777777" w:rsidR="00D35770" w:rsidRPr="007C4B78" w:rsidRDefault="00D35770" w:rsidP="004D12C3">
      <w:pPr>
        <w:tabs>
          <w:tab w:val="left" w:pos="680"/>
        </w:tabs>
        <w:jc w:val="both"/>
        <w:rPr>
          <w:rFonts w:asciiTheme="majorHAnsi" w:eastAsia="Arial" w:hAnsiTheme="majorHAnsi" w:cs="Arial"/>
        </w:rPr>
      </w:pPr>
    </w:p>
    <w:p w14:paraId="72987A97" w14:textId="77777777" w:rsidR="00D35770" w:rsidRPr="007C4B78" w:rsidRDefault="00D35770" w:rsidP="004D12C3">
      <w:pPr>
        <w:tabs>
          <w:tab w:val="left" w:pos="680"/>
        </w:tabs>
        <w:jc w:val="both"/>
        <w:rPr>
          <w:rFonts w:asciiTheme="majorHAnsi" w:eastAsia="Arial" w:hAnsiTheme="majorHAnsi" w:cs="Arial"/>
        </w:rPr>
      </w:pPr>
      <w:r w:rsidRPr="007C4B78">
        <w:rPr>
          <w:rFonts w:asciiTheme="majorHAnsi" w:eastAsia="Arial" w:hAnsiTheme="majorHAnsi" w:cs="Arial"/>
        </w:rPr>
        <w:t>The guardian ad litem service is unregulated in Ireland and not used in a uniform matter. In addition it is not clear if children are told of the dual roles of guardians ad litem – to communicate their views to the court, but also to advise the court on the course of action believed to be in the best interests of the child (which may conflict with the child’s views</w:t>
      </w:r>
      <w:r w:rsidR="004659B9" w:rsidRPr="007C4B78">
        <w:rPr>
          <w:rFonts w:asciiTheme="majorHAnsi" w:eastAsia="Arial" w:hAnsiTheme="majorHAnsi" w:cs="Arial"/>
        </w:rPr>
        <w:t>)</w:t>
      </w:r>
      <w:r w:rsidRPr="007C4B78">
        <w:rPr>
          <w:rFonts w:asciiTheme="majorHAnsi" w:eastAsia="Arial" w:hAnsiTheme="majorHAnsi" w:cs="Arial"/>
        </w:rPr>
        <w:t>.</w:t>
      </w:r>
    </w:p>
    <w:p w14:paraId="5EA3EC8A" w14:textId="77777777" w:rsidR="00731B5C" w:rsidRPr="007C4B78" w:rsidRDefault="003A6ED1" w:rsidP="004D12C3">
      <w:pPr>
        <w:pStyle w:val="Heading2"/>
        <w:jc w:val="both"/>
        <w:rPr>
          <w:rFonts w:asciiTheme="majorHAnsi" w:hAnsiTheme="majorHAnsi"/>
        </w:rPr>
      </w:pPr>
      <w:bookmarkStart w:id="51" w:name="_Toc417303177"/>
      <w:r w:rsidRPr="007C4B78">
        <w:rPr>
          <w:rFonts w:asciiTheme="majorHAnsi" w:hAnsiTheme="majorHAnsi"/>
        </w:rPr>
        <w:t>Access to Justice in Criminal Justice Settings</w:t>
      </w:r>
      <w:bookmarkEnd w:id="51"/>
    </w:p>
    <w:p w14:paraId="51B6435F" w14:textId="77777777" w:rsidR="00731B5C" w:rsidRPr="007C4B78" w:rsidRDefault="00731B5C" w:rsidP="004D12C3">
      <w:pPr>
        <w:pStyle w:val="Heading2"/>
        <w:jc w:val="both"/>
        <w:rPr>
          <w:rFonts w:asciiTheme="majorHAnsi" w:hAnsiTheme="majorHAnsi"/>
        </w:rPr>
      </w:pPr>
      <w:bookmarkStart w:id="52" w:name="_Toc417303178"/>
      <w:r w:rsidRPr="007C4B78">
        <w:rPr>
          <w:rFonts w:asciiTheme="majorHAnsi" w:hAnsiTheme="majorHAnsi"/>
        </w:rPr>
        <w:t>Victim</w:t>
      </w:r>
      <w:r w:rsidR="004A4AE7" w:rsidRPr="007C4B78">
        <w:rPr>
          <w:rFonts w:asciiTheme="majorHAnsi" w:hAnsiTheme="majorHAnsi"/>
        </w:rPr>
        <w:t>s and Witnesses</w:t>
      </w:r>
      <w:bookmarkEnd w:id="52"/>
    </w:p>
    <w:p w14:paraId="58437A2A" w14:textId="77777777" w:rsidR="00731B5C" w:rsidRPr="007C4B78" w:rsidRDefault="00731B5C" w:rsidP="004D12C3">
      <w:pPr>
        <w:tabs>
          <w:tab w:val="left" w:pos="680"/>
        </w:tabs>
        <w:jc w:val="both"/>
        <w:rPr>
          <w:rFonts w:asciiTheme="majorHAnsi" w:eastAsia="Arial" w:hAnsiTheme="majorHAnsi" w:cs="Arial"/>
        </w:rPr>
      </w:pPr>
      <w:r w:rsidRPr="007C4B78">
        <w:rPr>
          <w:rFonts w:asciiTheme="majorHAnsi" w:eastAsia="Arial" w:hAnsiTheme="majorHAnsi" w:cs="Arial"/>
        </w:rPr>
        <w:t xml:space="preserve">Victims with disabilities (both children and adults) are invisible in Ireland. </w:t>
      </w:r>
      <w:r w:rsidR="004A4AE7" w:rsidRPr="007C4B78">
        <w:rPr>
          <w:rFonts w:asciiTheme="majorHAnsi" w:eastAsia="Arial" w:hAnsiTheme="majorHAnsi" w:cs="Arial"/>
        </w:rPr>
        <w:t>No data is collected about</w:t>
      </w:r>
      <w:r w:rsidRPr="007C4B78">
        <w:rPr>
          <w:rFonts w:asciiTheme="majorHAnsi" w:eastAsia="Arial" w:hAnsiTheme="majorHAnsi" w:cs="Arial"/>
        </w:rPr>
        <w:t xml:space="preserve"> them and very little </w:t>
      </w:r>
      <w:r w:rsidR="004A4AE7" w:rsidRPr="007C4B78">
        <w:rPr>
          <w:rFonts w:asciiTheme="majorHAnsi" w:eastAsia="Arial" w:hAnsiTheme="majorHAnsi" w:cs="Arial"/>
        </w:rPr>
        <w:t>supports are available to them within the criminal justice</w:t>
      </w:r>
      <w:r w:rsidRPr="007C4B78">
        <w:rPr>
          <w:rFonts w:asciiTheme="majorHAnsi" w:eastAsia="Arial" w:hAnsiTheme="majorHAnsi" w:cs="Arial"/>
        </w:rPr>
        <w:t xml:space="preserve"> system. </w:t>
      </w:r>
      <w:r w:rsidR="004A4AE7" w:rsidRPr="007C4B78">
        <w:rPr>
          <w:rFonts w:asciiTheme="majorHAnsi" w:eastAsia="Arial" w:hAnsiTheme="majorHAnsi" w:cs="Arial"/>
        </w:rPr>
        <w:t>V</w:t>
      </w:r>
      <w:r w:rsidRPr="007C4B78">
        <w:rPr>
          <w:rFonts w:asciiTheme="majorHAnsi" w:eastAsia="Arial" w:hAnsiTheme="majorHAnsi" w:cs="Arial"/>
        </w:rPr>
        <w:t xml:space="preserve">ictim support services in Ireland are not </w:t>
      </w:r>
      <w:r w:rsidR="004A4AE7" w:rsidRPr="007C4B78">
        <w:rPr>
          <w:rFonts w:asciiTheme="majorHAnsi" w:eastAsia="Arial" w:hAnsiTheme="majorHAnsi" w:cs="Arial"/>
        </w:rPr>
        <w:t>currently</w:t>
      </w:r>
      <w:r w:rsidRPr="007C4B78">
        <w:rPr>
          <w:rFonts w:asciiTheme="majorHAnsi" w:eastAsia="Arial" w:hAnsiTheme="majorHAnsi" w:cs="Arial"/>
        </w:rPr>
        <w:t xml:space="preserve"> trained to work with potential clients with disabilities</w:t>
      </w:r>
      <w:r w:rsidR="004A4AE7" w:rsidRPr="007C4B78">
        <w:rPr>
          <w:rFonts w:asciiTheme="majorHAnsi" w:eastAsia="Arial" w:hAnsiTheme="majorHAnsi" w:cs="Arial"/>
        </w:rPr>
        <w:t>, or with</w:t>
      </w:r>
      <w:r w:rsidRPr="007C4B78">
        <w:rPr>
          <w:rFonts w:asciiTheme="majorHAnsi" w:eastAsia="Arial" w:hAnsiTheme="majorHAnsi" w:cs="Arial"/>
        </w:rPr>
        <w:t xml:space="preserve"> children.</w:t>
      </w:r>
    </w:p>
    <w:p w14:paraId="2FB27141" w14:textId="77777777" w:rsidR="00731B5C" w:rsidRPr="007C4B78" w:rsidRDefault="00731B5C" w:rsidP="004D12C3">
      <w:pPr>
        <w:tabs>
          <w:tab w:val="left" w:pos="680"/>
        </w:tabs>
        <w:jc w:val="both"/>
        <w:rPr>
          <w:rFonts w:asciiTheme="majorHAnsi" w:eastAsia="Arial" w:hAnsiTheme="majorHAnsi" w:cs="Arial"/>
        </w:rPr>
      </w:pPr>
    </w:p>
    <w:p w14:paraId="6BAF95D7" w14:textId="77777777" w:rsidR="00731B5C" w:rsidRPr="007C4B78" w:rsidRDefault="004A4AE7" w:rsidP="004D12C3">
      <w:pPr>
        <w:tabs>
          <w:tab w:val="left" w:pos="680"/>
        </w:tabs>
        <w:jc w:val="both"/>
        <w:rPr>
          <w:rFonts w:asciiTheme="majorHAnsi" w:eastAsia="Arial" w:hAnsiTheme="majorHAnsi" w:cs="Arial"/>
        </w:rPr>
      </w:pPr>
      <w:r w:rsidRPr="007C4B78">
        <w:rPr>
          <w:rFonts w:asciiTheme="majorHAnsi" w:eastAsia="Arial" w:hAnsiTheme="majorHAnsi" w:cs="Arial"/>
        </w:rPr>
        <w:t>The Irish law</w:t>
      </w:r>
      <w:r w:rsidR="00CF2414" w:rsidRPr="007C4B78">
        <w:rPr>
          <w:rFonts w:asciiTheme="majorHAnsi" w:eastAsia="Arial" w:hAnsiTheme="majorHAnsi" w:cs="Arial"/>
        </w:rPr>
        <w:t xml:space="preserve"> </w:t>
      </w:r>
      <w:r w:rsidRPr="007C4B78">
        <w:rPr>
          <w:rFonts w:asciiTheme="majorHAnsi" w:eastAsia="Arial" w:hAnsiTheme="majorHAnsi" w:cs="Arial"/>
        </w:rPr>
        <w:t>of evidence (especially provisions on swearing in and testifying)</w:t>
      </w:r>
      <w:r w:rsidR="00731B5C" w:rsidRPr="007C4B78">
        <w:rPr>
          <w:rFonts w:asciiTheme="majorHAnsi" w:eastAsia="Arial" w:hAnsiTheme="majorHAnsi" w:cs="Arial"/>
        </w:rPr>
        <w:t xml:space="preserve"> could </w:t>
      </w:r>
      <w:r w:rsidRPr="007C4B78">
        <w:rPr>
          <w:rFonts w:asciiTheme="majorHAnsi" w:eastAsia="Arial" w:hAnsiTheme="majorHAnsi" w:cs="Arial"/>
        </w:rPr>
        <w:t>present</w:t>
      </w:r>
      <w:r w:rsidR="00731B5C" w:rsidRPr="007C4B78">
        <w:rPr>
          <w:rFonts w:asciiTheme="majorHAnsi" w:eastAsia="Arial" w:hAnsiTheme="majorHAnsi" w:cs="Arial"/>
        </w:rPr>
        <w:t xml:space="preserve"> barriers </w:t>
      </w:r>
      <w:r w:rsidR="00464197" w:rsidRPr="007C4B78">
        <w:rPr>
          <w:rFonts w:asciiTheme="majorHAnsi" w:eastAsia="Arial" w:hAnsiTheme="majorHAnsi" w:cs="Arial"/>
        </w:rPr>
        <w:t>to children</w:t>
      </w:r>
      <w:r w:rsidR="00731B5C" w:rsidRPr="007C4B78">
        <w:rPr>
          <w:rFonts w:asciiTheme="majorHAnsi" w:eastAsia="Arial" w:hAnsiTheme="majorHAnsi" w:cs="Arial"/>
        </w:rPr>
        <w:t xml:space="preserve"> with </w:t>
      </w:r>
      <w:r w:rsidR="00CF0F5B" w:rsidRPr="007C4B78">
        <w:rPr>
          <w:rFonts w:asciiTheme="majorHAnsi" w:eastAsia="Arial" w:hAnsiTheme="majorHAnsi" w:cs="Arial"/>
        </w:rPr>
        <w:t>cognitive disabilities</w:t>
      </w:r>
      <w:r w:rsidR="00731B5C" w:rsidRPr="007C4B78">
        <w:rPr>
          <w:rFonts w:asciiTheme="majorHAnsi" w:eastAsia="Arial" w:hAnsiTheme="majorHAnsi" w:cs="Arial"/>
        </w:rPr>
        <w:t>. Even if the law itself is not a complete bar</w:t>
      </w:r>
      <w:r w:rsidRPr="007C4B78">
        <w:rPr>
          <w:rFonts w:asciiTheme="majorHAnsi" w:eastAsia="Arial" w:hAnsiTheme="majorHAnsi" w:cs="Arial"/>
        </w:rPr>
        <w:t>,</w:t>
      </w:r>
      <w:r w:rsidR="00CF2414" w:rsidRPr="007C4B78">
        <w:rPr>
          <w:rFonts w:asciiTheme="majorHAnsi" w:eastAsia="Arial" w:hAnsiTheme="majorHAnsi" w:cs="Arial"/>
        </w:rPr>
        <w:t xml:space="preserve"> </w:t>
      </w:r>
      <w:r w:rsidRPr="007C4B78">
        <w:rPr>
          <w:rFonts w:asciiTheme="majorHAnsi" w:eastAsia="Arial" w:hAnsiTheme="majorHAnsi" w:cs="Arial"/>
        </w:rPr>
        <w:t xml:space="preserve">many of those interviewed for this project felt that </w:t>
      </w:r>
      <w:r w:rsidR="00731B5C" w:rsidRPr="007C4B78">
        <w:rPr>
          <w:rFonts w:asciiTheme="majorHAnsi" w:eastAsia="Arial" w:hAnsiTheme="majorHAnsi" w:cs="Arial"/>
        </w:rPr>
        <w:t>the Garda</w:t>
      </w:r>
      <w:r w:rsidRPr="007C4B78">
        <w:rPr>
          <w:rFonts w:asciiTheme="majorHAnsi" w:eastAsia="Arial" w:hAnsiTheme="majorHAnsi" w:cs="Arial"/>
        </w:rPr>
        <w:t>í</w:t>
      </w:r>
      <w:r w:rsidR="00731B5C" w:rsidRPr="007C4B78">
        <w:rPr>
          <w:rFonts w:asciiTheme="majorHAnsi" w:eastAsia="Arial" w:hAnsiTheme="majorHAnsi" w:cs="Arial"/>
        </w:rPr>
        <w:t xml:space="preserve"> and DPP are often unwilling to investigate and follow up such cases </w:t>
      </w:r>
      <w:r w:rsidRPr="007C4B78">
        <w:rPr>
          <w:rFonts w:asciiTheme="majorHAnsi" w:eastAsia="Arial" w:hAnsiTheme="majorHAnsi" w:cs="Arial"/>
        </w:rPr>
        <w:t xml:space="preserve">due to concerns about witness testimony and credibility. </w:t>
      </w:r>
      <w:r w:rsidR="00731B5C" w:rsidRPr="007C4B78">
        <w:rPr>
          <w:rFonts w:asciiTheme="majorHAnsi" w:eastAsia="Arial" w:hAnsiTheme="majorHAnsi" w:cs="Arial"/>
        </w:rPr>
        <w:t xml:space="preserve">Although the law allows for supportive measures that would better enable child victims with </w:t>
      </w:r>
      <w:r w:rsidR="00CF0F5B" w:rsidRPr="007C4B78">
        <w:rPr>
          <w:rFonts w:asciiTheme="majorHAnsi" w:eastAsia="Arial" w:hAnsiTheme="majorHAnsi" w:cs="Arial"/>
        </w:rPr>
        <w:t>cognitive disabilities</w:t>
      </w:r>
      <w:r w:rsidR="00731B5C" w:rsidRPr="007C4B78">
        <w:rPr>
          <w:rFonts w:asciiTheme="majorHAnsi" w:eastAsia="Arial" w:hAnsiTheme="majorHAnsi" w:cs="Arial"/>
        </w:rPr>
        <w:t xml:space="preserve"> to testify</w:t>
      </w:r>
      <w:r w:rsidRPr="007C4B78">
        <w:rPr>
          <w:rFonts w:asciiTheme="majorHAnsi" w:eastAsia="Arial" w:hAnsiTheme="majorHAnsi" w:cs="Arial"/>
        </w:rPr>
        <w:t>,</w:t>
      </w:r>
      <w:r w:rsidR="00731B5C" w:rsidRPr="007C4B78">
        <w:rPr>
          <w:rFonts w:asciiTheme="majorHAnsi" w:eastAsia="Arial" w:hAnsiTheme="majorHAnsi" w:cs="Arial"/>
        </w:rPr>
        <w:t xml:space="preserve"> video links are just beginning to be used and this research could </w:t>
      </w:r>
      <w:r w:rsidRPr="007C4B78">
        <w:rPr>
          <w:rFonts w:asciiTheme="majorHAnsi" w:eastAsia="Arial" w:hAnsiTheme="majorHAnsi" w:cs="Arial"/>
        </w:rPr>
        <w:t>find</w:t>
      </w:r>
      <w:r w:rsidR="00731B5C" w:rsidRPr="007C4B78">
        <w:rPr>
          <w:rFonts w:asciiTheme="majorHAnsi" w:eastAsia="Arial" w:hAnsiTheme="majorHAnsi" w:cs="Arial"/>
        </w:rPr>
        <w:t xml:space="preserve"> no example of an intermediary being used.</w:t>
      </w:r>
    </w:p>
    <w:p w14:paraId="4A144108" w14:textId="77777777" w:rsidR="00731B5C" w:rsidRPr="007C4B78" w:rsidRDefault="00731B5C" w:rsidP="004D12C3">
      <w:pPr>
        <w:tabs>
          <w:tab w:val="left" w:pos="680"/>
        </w:tabs>
        <w:jc w:val="both"/>
        <w:rPr>
          <w:rFonts w:asciiTheme="majorHAnsi" w:eastAsia="Arial" w:hAnsiTheme="majorHAnsi" w:cs="Arial"/>
        </w:rPr>
      </w:pPr>
    </w:p>
    <w:p w14:paraId="060FA75A" w14:textId="77777777" w:rsidR="00731B5C" w:rsidRPr="007C4B78" w:rsidRDefault="004A4AE7" w:rsidP="004D12C3">
      <w:pPr>
        <w:tabs>
          <w:tab w:val="left" w:pos="680"/>
        </w:tabs>
        <w:jc w:val="both"/>
        <w:rPr>
          <w:rFonts w:asciiTheme="majorHAnsi" w:eastAsia="Arial" w:hAnsiTheme="majorHAnsi" w:cs="Arial"/>
        </w:rPr>
      </w:pPr>
      <w:r w:rsidRPr="007C4B78">
        <w:rPr>
          <w:rFonts w:asciiTheme="majorHAnsi" w:eastAsia="Arial" w:hAnsiTheme="majorHAnsi" w:cs="Arial"/>
        </w:rPr>
        <w:t>Crimes motivated by bias or hatred, or intentional selection of victims with disabilities do not have specific sentencing enhancements in Ireland</w:t>
      </w:r>
      <w:r w:rsidR="00731B5C" w:rsidRPr="007C4B78">
        <w:rPr>
          <w:rFonts w:asciiTheme="majorHAnsi" w:eastAsia="Arial" w:hAnsiTheme="majorHAnsi" w:cs="Arial"/>
        </w:rPr>
        <w:t xml:space="preserve"> and this gap in the law may be facilitating </w:t>
      </w:r>
      <w:r w:rsidRPr="007C4B78">
        <w:rPr>
          <w:rFonts w:asciiTheme="majorHAnsi" w:eastAsia="Arial" w:hAnsiTheme="majorHAnsi" w:cs="Arial"/>
        </w:rPr>
        <w:t>underreporting of disability-</w:t>
      </w:r>
      <w:r w:rsidR="00731B5C" w:rsidRPr="007C4B78">
        <w:rPr>
          <w:rFonts w:asciiTheme="majorHAnsi" w:eastAsia="Arial" w:hAnsiTheme="majorHAnsi" w:cs="Arial"/>
        </w:rPr>
        <w:t>motivated hate crimes.</w:t>
      </w:r>
    </w:p>
    <w:p w14:paraId="2193DA33" w14:textId="77777777" w:rsidR="00731B5C" w:rsidRPr="007C4B78" w:rsidRDefault="00731B5C" w:rsidP="004D12C3">
      <w:pPr>
        <w:tabs>
          <w:tab w:val="left" w:pos="680"/>
        </w:tabs>
        <w:jc w:val="both"/>
        <w:rPr>
          <w:rFonts w:asciiTheme="majorHAnsi" w:eastAsia="Arial" w:hAnsiTheme="majorHAnsi" w:cs="Arial"/>
        </w:rPr>
      </w:pPr>
    </w:p>
    <w:p w14:paraId="40269A56" w14:textId="77777777" w:rsidR="00731B5C" w:rsidRPr="007C4B78" w:rsidRDefault="00731B5C" w:rsidP="004D12C3">
      <w:pPr>
        <w:pStyle w:val="Heading2"/>
        <w:jc w:val="both"/>
        <w:rPr>
          <w:rFonts w:asciiTheme="majorHAnsi" w:hAnsiTheme="majorHAnsi"/>
        </w:rPr>
      </w:pPr>
      <w:bookmarkStart w:id="53" w:name="_Toc417303179"/>
      <w:r w:rsidRPr="007C4B78">
        <w:rPr>
          <w:rFonts w:asciiTheme="majorHAnsi" w:hAnsiTheme="majorHAnsi"/>
        </w:rPr>
        <w:t>Offender</w:t>
      </w:r>
      <w:r w:rsidR="004A4AE7" w:rsidRPr="007C4B78">
        <w:rPr>
          <w:rFonts w:asciiTheme="majorHAnsi" w:hAnsiTheme="majorHAnsi"/>
        </w:rPr>
        <w:t>s</w:t>
      </w:r>
      <w:bookmarkEnd w:id="53"/>
    </w:p>
    <w:p w14:paraId="23FBBDD8" w14:textId="77777777" w:rsidR="005411CD" w:rsidRPr="007C4B78" w:rsidRDefault="004A4AE7" w:rsidP="004D12C3">
      <w:pPr>
        <w:tabs>
          <w:tab w:val="left" w:pos="680"/>
        </w:tabs>
        <w:jc w:val="both"/>
        <w:rPr>
          <w:rFonts w:asciiTheme="majorHAnsi" w:eastAsia="Arial" w:hAnsiTheme="majorHAnsi" w:cs="Arial"/>
          <w:lang w:val="en-US"/>
        </w:rPr>
      </w:pPr>
      <w:r w:rsidRPr="007C4B78">
        <w:rPr>
          <w:rFonts w:asciiTheme="majorHAnsi" w:eastAsia="Arial" w:hAnsiTheme="majorHAnsi" w:cs="Arial"/>
        </w:rPr>
        <w:t>A</w:t>
      </w:r>
      <w:r w:rsidR="00731B5C" w:rsidRPr="007C4B78">
        <w:rPr>
          <w:rFonts w:asciiTheme="majorHAnsi" w:eastAsia="Arial" w:hAnsiTheme="majorHAnsi" w:cs="Arial"/>
        </w:rPr>
        <w:t xml:space="preserve">s of yet, adequate mental health services </w:t>
      </w:r>
      <w:r w:rsidRPr="007C4B78">
        <w:rPr>
          <w:rFonts w:asciiTheme="majorHAnsi" w:eastAsia="Arial" w:hAnsiTheme="majorHAnsi" w:cs="Arial"/>
        </w:rPr>
        <w:t xml:space="preserve">are not widely </w:t>
      </w:r>
      <w:r w:rsidR="00731B5C" w:rsidRPr="007C4B78">
        <w:rPr>
          <w:rFonts w:asciiTheme="majorHAnsi" w:eastAsia="Arial" w:hAnsiTheme="majorHAnsi" w:cs="Arial"/>
        </w:rPr>
        <w:t>available to</w:t>
      </w:r>
      <w:r w:rsidRPr="007C4B78">
        <w:rPr>
          <w:rFonts w:asciiTheme="majorHAnsi" w:eastAsia="Arial" w:hAnsiTheme="majorHAnsi" w:cs="Arial"/>
        </w:rPr>
        <w:t xml:space="preserve"> young</w:t>
      </w:r>
      <w:r w:rsidR="00731B5C" w:rsidRPr="007C4B78">
        <w:rPr>
          <w:rFonts w:asciiTheme="majorHAnsi" w:eastAsia="Arial" w:hAnsiTheme="majorHAnsi" w:cs="Arial"/>
        </w:rPr>
        <w:t xml:space="preserve"> offenders with </w:t>
      </w:r>
      <w:r w:rsidR="00CF0F5B" w:rsidRPr="007C4B78">
        <w:rPr>
          <w:rFonts w:asciiTheme="majorHAnsi" w:eastAsia="Arial" w:hAnsiTheme="majorHAnsi" w:cs="Arial"/>
        </w:rPr>
        <w:t>cognitive disabilities</w:t>
      </w:r>
      <w:r w:rsidR="00731B5C" w:rsidRPr="007C4B78">
        <w:rPr>
          <w:rFonts w:asciiTheme="majorHAnsi" w:eastAsia="Arial" w:hAnsiTheme="majorHAnsi" w:cs="Arial"/>
        </w:rPr>
        <w:t xml:space="preserve">. There are also some cases of criminal detention being used as a stopgap for lack of services for children with </w:t>
      </w:r>
      <w:r w:rsidR="00CF0F5B" w:rsidRPr="007C4B78">
        <w:rPr>
          <w:rFonts w:asciiTheme="majorHAnsi" w:eastAsia="Arial" w:hAnsiTheme="majorHAnsi" w:cs="Arial"/>
        </w:rPr>
        <w:t>cognitive disabiliti</w:t>
      </w:r>
      <w:r w:rsidR="003B512A" w:rsidRPr="007C4B78">
        <w:rPr>
          <w:rFonts w:asciiTheme="majorHAnsi" w:eastAsia="Arial" w:hAnsiTheme="majorHAnsi" w:cs="Arial"/>
          <w:lang w:val="en-US"/>
        </w:rPr>
        <w:t>es.</w:t>
      </w:r>
    </w:p>
    <w:p w14:paraId="0BAED0D4" w14:textId="77777777" w:rsidR="005411CD" w:rsidRPr="007C4B78" w:rsidRDefault="005411CD" w:rsidP="004D12C3">
      <w:pPr>
        <w:tabs>
          <w:tab w:val="left" w:pos="680"/>
        </w:tabs>
        <w:jc w:val="both"/>
        <w:rPr>
          <w:rFonts w:asciiTheme="majorHAnsi" w:eastAsia="Arial" w:hAnsiTheme="majorHAnsi" w:cs="Arial"/>
          <w:lang w:val="en-US"/>
        </w:rPr>
      </w:pPr>
    </w:p>
    <w:p w14:paraId="4C8E01D3" w14:textId="77777777" w:rsidR="005411CD" w:rsidRPr="008F531C" w:rsidRDefault="008C3F9E" w:rsidP="004D12C3">
      <w:pPr>
        <w:tabs>
          <w:tab w:val="left" w:pos="680"/>
        </w:tabs>
        <w:jc w:val="both"/>
        <w:rPr>
          <w:rFonts w:asciiTheme="majorHAnsi" w:eastAsia="Arial" w:hAnsiTheme="majorHAnsi" w:cs="Arial"/>
          <w:lang w:val="en-US"/>
        </w:rPr>
      </w:pPr>
      <w:r w:rsidRPr="007C4B78">
        <w:rPr>
          <w:rFonts w:asciiTheme="majorHAnsi" w:eastAsia="Arial" w:hAnsiTheme="majorHAnsi" w:cs="Arial"/>
          <w:lang w:val="en-US"/>
        </w:rPr>
        <w:t>I</w:t>
      </w:r>
      <w:r w:rsidR="003B512A" w:rsidRPr="007C4B78">
        <w:rPr>
          <w:rFonts w:asciiTheme="majorHAnsi" w:eastAsia="Arial" w:hAnsiTheme="majorHAnsi" w:cs="Arial"/>
          <w:lang w:val="en-US"/>
        </w:rPr>
        <w:t>r</w:t>
      </w:r>
      <w:r w:rsidRPr="007C4B78">
        <w:rPr>
          <w:rFonts w:asciiTheme="majorHAnsi" w:eastAsia="Arial" w:hAnsiTheme="majorHAnsi" w:cs="Arial"/>
          <w:lang w:val="en-US"/>
        </w:rPr>
        <w:t xml:space="preserve">eland must </w:t>
      </w:r>
      <w:r w:rsidR="003B512A" w:rsidRPr="007C4B78">
        <w:rPr>
          <w:rFonts w:asciiTheme="majorHAnsi" w:eastAsia="Arial" w:hAnsiTheme="majorHAnsi" w:cs="Arial"/>
          <w:lang w:val="en-US"/>
        </w:rPr>
        <w:t>do better by its children</w:t>
      </w:r>
      <w:r w:rsidR="00943DB4" w:rsidRPr="007C4B78">
        <w:rPr>
          <w:rFonts w:asciiTheme="majorHAnsi" w:eastAsia="Arial" w:hAnsiTheme="majorHAnsi" w:cs="Arial"/>
          <w:lang w:val="en-US"/>
        </w:rPr>
        <w:t>,</w:t>
      </w:r>
      <w:r w:rsidR="003B512A" w:rsidRPr="007C4B78">
        <w:rPr>
          <w:rFonts w:asciiTheme="majorHAnsi" w:eastAsia="Arial" w:hAnsiTheme="majorHAnsi" w:cs="Arial"/>
          <w:lang w:val="en-US"/>
        </w:rPr>
        <w:t xml:space="preserve"> especially its children with cognitive </w:t>
      </w:r>
      <w:r w:rsidR="00070A07" w:rsidRPr="007C4B78">
        <w:rPr>
          <w:rFonts w:asciiTheme="majorHAnsi" w:eastAsia="Arial" w:hAnsiTheme="majorHAnsi" w:cs="Arial"/>
          <w:lang w:val="en-US"/>
        </w:rPr>
        <w:t>disabilities</w:t>
      </w:r>
      <w:r w:rsidR="003B512A" w:rsidRPr="007C4B78">
        <w:rPr>
          <w:rFonts w:asciiTheme="majorHAnsi" w:eastAsia="Arial" w:hAnsiTheme="majorHAnsi" w:cs="Arial"/>
          <w:lang w:val="en-US"/>
        </w:rPr>
        <w:t xml:space="preserve">.  </w:t>
      </w:r>
      <w:r w:rsidR="00943DB4" w:rsidRPr="007C4B78">
        <w:rPr>
          <w:rFonts w:asciiTheme="majorHAnsi" w:eastAsia="Arial" w:hAnsiTheme="majorHAnsi" w:cs="Arial"/>
          <w:lang w:val="en-US"/>
        </w:rPr>
        <w:t>B</w:t>
      </w:r>
      <w:r w:rsidR="00FE44E7" w:rsidRPr="007C4B78">
        <w:rPr>
          <w:rFonts w:asciiTheme="majorHAnsi" w:eastAsia="Arial" w:hAnsiTheme="majorHAnsi" w:cs="Arial"/>
          <w:lang w:val="en-US"/>
        </w:rPr>
        <w:t xml:space="preserve">etter data must be kept on how children access </w:t>
      </w:r>
      <w:r w:rsidR="00E62BE2" w:rsidRPr="007C4B78">
        <w:rPr>
          <w:rFonts w:asciiTheme="majorHAnsi" w:eastAsia="Arial" w:hAnsiTheme="majorHAnsi" w:cs="Arial"/>
          <w:lang w:val="en-US"/>
        </w:rPr>
        <w:t>justice and such data must be disaggregated so that we may swiftly identify any barriers faced by</w:t>
      </w:r>
      <w:r w:rsidR="000543A2" w:rsidRPr="007C4B78">
        <w:rPr>
          <w:rFonts w:asciiTheme="majorHAnsi" w:eastAsia="Arial" w:hAnsiTheme="majorHAnsi" w:cs="Arial"/>
          <w:lang w:val="en-US"/>
        </w:rPr>
        <w:t xml:space="preserve"> children with cognitive disabi</w:t>
      </w:r>
      <w:r w:rsidR="005131C1" w:rsidRPr="007C4B78">
        <w:rPr>
          <w:rFonts w:asciiTheme="majorHAnsi" w:eastAsia="Arial" w:hAnsiTheme="majorHAnsi" w:cs="Arial"/>
          <w:lang w:val="en-US"/>
        </w:rPr>
        <w:t>lities. When pla</w:t>
      </w:r>
      <w:r w:rsidR="002E0C25" w:rsidRPr="007C4B78">
        <w:rPr>
          <w:rFonts w:asciiTheme="majorHAnsi" w:eastAsia="Arial" w:hAnsiTheme="majorHAnsi" w:cs="Arial"/>
          <w:lang w:val="en-US"/>
        </w:rPr>
        <w:t>n</w:t>
      </w:r>
      <w:r w:rsidR="005131C1" w:rsidRPr="007C4B78">
        <w:rPr>
          <w:rFonts w:asciiTheme="majorHAnsi" w:eastAsia="Arial" w:hAnsiTheme="majorHAnsi" w:cs="Arial"/>
          <w:lang w:val="en-US"/>
        </w:rPr>
        <w:t>ni</w:t>
      </w:r>
      <w:r w:rsidR="000543A2" w:rsidRPr="007C4B78">
        <w:rPr>
          <w:rFonts w:asciiTheme="majorHAnsi" w:eastAsia="Arial" w:hAnsiTheme="majorHAnsi" w:cs="Arial"/>
          <w:lang w:val="en-US"/>
        </w:rPr>
        <w:t xml:space="preserve">ng new policies that impact on children, the government should </w:t>
      </w:r>
      <w:r w:rsidR="008F0093" w:rsidRPr="007C4B78">
        <w:rPr>
          <w:rFonts w:asciiTheme="majorHAnsi" w:eastAsia="Arial" w:hAnsiTheme="majorHAnsi" w:cs="Arial"/>
          <w:lang w:val="en-US"/>
        </w:rPr>
        <w:t xml:space="preserve">include </w:t>
      </w:r>
      <w:r w:rsidR="005131C1" w:rsidRPr="007C4B78">
        <w:rPr>
          <w:rFonts w:asciiTheme="majorHAnsi" w:eastAsia="Arial" w:hAnsiTheme="majorHAnsi" w:cs="Arial"/>
          <w:lang w:val="en-US"/>
        </w:rPr>
        <w:t>c</w:t>
      </w:r>
      <w:r w:rsidR="008F0093" w:rsidRPr="007C4B78">
        <w:rPr>
          <w:rFonts w:asciiTheme="majorHAnsi" w:eastAsia="Arial" w:hAnsiTheme="majorHAnsi" w:cs="Arial"/>
          <w:lang w:val="en-US"/>
        </w:rPr>
        <w:t xml:space="preserve">hildren in </w:t>
      </w:r>
      <w:r w:rsidR="005131C1" w:rsidRPr="007C4B78">
        <w:rPr>
          <w:rFonts w:asciiTheme="majorHAnsi" w:eastAsia="Arial" w:hAnsiTheme="majorHAnsi" w:cs="Arial"/>
          <w:lang w:val="en-US"/>
        </w:rPr>
        <w:t>a way that their voice may be heard</w:t>
      </w:r>
      <w:r w:rsidR="008F0093" w:rsidRPr="007C4B78">
        <w:rPr>
          <w:rFonts w:asciiTheme="majorHAnsi" w:eastAsia="Arial" w:hAnsiTheme="majorHAnsi" w:cs="Arial"/>
          <w:lang w:val="en-US"/>
        </w:rPr>
        <w:t>. The inclusion of children’s voices should be done in an accessible manner so as to ensure the</w:t>
      </w:r>
      <w:r w:rsidR="002E0C25" w:rsidRPr="007C4B78">
        <w:rPr>
          <w:rFonts w:asciiTheme="majorHAnsi" w:eastAsia="Arial" w:hAnsiTheme="majorHAnsi" w:cs="Arial"/>
          <w:lang w:val="en-US"/>
        </w:rPr>
        <w:t xml:space="preserve"> meaningful</w:t>
      </w:r>
      <w:r w:rsidR="008F0093" w:rsidRPr="007C4B78">
        <w:rPr>
          <w:rFonts w:asciiTheme="majorHAnsi" w:eastAsia="Arial" w:hAnsiTheme="majorHAnsi" w:cs="Arial"/>
          <w:lang w:val="en-US"/>
        </w:rPr>
        <w:t xml:space="preserve"> inclusion of the </w:t>
      </w:r>
      <w:r w:rsidR="00070A07" w:rsidRPr="007C4B78">
        <w:rPr>
          <w:rFonts w:asciiTheme="majorHAnsi" w:eastAsia="Arial" w:hAnsiTheme="majorHAnsi" w:cs="Arial"/>
          <w:lang w:val="en-US"/>
        </w:rPr>
        <w:t>voices of children wit</w:t>
      </w:r>
      <w:r w:rsidR="002E0C25" w:rsidRPr="007C4B78">
        <w:rPr>
          <w:rFonts w:asciiTheme="majorHAnsi" w:eastAsia="Arial" w:hAnsiTheme="majorHAnsi" w:cs="Arial"/>
          <w:lang w:val="en-US"/>
        </w:rPr>
        <w:t>h cognitive disabilities</w:t>
      </w:r>
      <w:r w:rsidR="00070A07" w:rsidRPr="007C4B78">
        <w:rPr>
          <w:rFonts w:asciiTheme="majorHAnsi" w:eastAsia="Arial" w:hAnsiTheme="majorHAnsi" w:cs="Arial"/>
          <w:lang w:val="en-US"/>
        </w:rPr>
        <w:t>.</w:t>
      </w:r>
    </w:p>
    <w:sectPr w:rsidR="005411CD" w:rsidRPr="008F531C" w:rsidSect="00B20F7E">
      <w:footerReference w:type="default" r:id="rId9"/>
      <w:pgSz w:w="11900" w:h="16840"/>
      <w:pgMar w:top="1440" w:right="1800" w:bottom="1440" w:left="1800" w:header="720" w:footer="720" w:gutter="0"/>
      <w:cols w:space="720"/>
      <w:docGrid w:linePitch="36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D16FB" w14:textId="77777777" w:rsidR="00FF7D9E" w:rsidRDefault="00FF7D9E" w:rsidP="00F5694A">
      <w:r>
        <w:separator/>
      </w:r>
    </w:p>
  </w:endnote>
  <w:endnote w:type="continuationSeparator" w:id="0">
    <w:p w14:paraId="4AC2A396" w14:textId="77777777" w:rsidR="00FF7D9E" w:rsidRDefault="00FF7D9E" w:rsidP="00F56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4313"/>
      <w:docPartObj>
        <w:docPartGallery w:val="Page Numbers (Bottom of Page)"/>
        <w:docPartUnique/>
      </w:docPartObj>
    </w:sdtPr>
    <w:sdtEndPr/>
    <w:sdtContent>
      <w:p w14:paraId="370333E3" w14:textId="77777777" w:rsidR="006C1607" w:rsidRDefault="007C4B78">
        <w:pPr>
          <w:pStyle w:val="Footer"/>
          <w:jc w:val="center"/>
        </w:pPr>
        <w:r>
          <w:fldChar w:fldCharType="begin"/>
        </w:r>
        <w:r>
          <w:instrText xml:space="preserve"> PAGE   \* MERGEFORMAT </w:instrText>
        </w:r>
        <w:r>
          <w:fldChar w:fldCharType="separate"/>
        </w:r>
        <w:r w:rsidR="00B20F7E">
          <w:rPr>
            <w:noProof/>
          </w:rPr>
          <w:t>2</w:t>
        </w:r>
        <w:r>
          <w:rPr>
            <w:noProof/>
          </w:rPr>
          <w:fldChar w:fldCharType="end"/>
        </w:r>
      </w:p>
    </w:sdtContent>
  </w:sdt>
  <w:p w14:paraId="10EA6EF9" w14:textId="77777777" w:rsidR="006C1607" w:rsidRDefault="006C16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8C6F4" w14:textId="77777777" w:rsidR="00FF7D9E" w:rsidRDefault="00FF7D9E" w:rsidP="00F5694A">
      <w:r>
        <w:separator/>
      </w:r>
    </w:p>
  </w:footnote>
  <w:footnote w:type="continuationSeparator" w:id="0">
    <w:p w14:paraId="0DE7F405" w14:textId="77777777" w:rsidR="00FF7D9E" w:rsidRDefault="00FF7D9E" w:rsidP="00F5694A">
      <w:r>
        <w:continuationSeparator/>
      </w:r>
    </w:p>
  </w:footnote>
  <w:footnote w:id="1">
    <w:p w14:paraId="1AA49048" w14:textId="77777777" w:rsidR="006C1607" w:rsidRPr="00280290" w:rsidRDefault="006C1607" w:rsidP="006D4820">
      <w:pPr>
        <w:pStyle w:val="FootnoteText"/>
        <w:rPr>
          <w:i/>
        </w:rPr>
      </w:pPr>
      <w:r w:rsidRPr="00280290">
        <w:rPr>
          <w:rStyle w:val="FootnoteReference"/>
        </w:rPr>
        <w:footnoteRef/>
      </w:r>
      <w:r>
        <w:t xml:space="preserve">Central Statistics </w:t>
      </w:r>
      <w:proofErr w:type="gramStart"/>
      <w:r>
        <w:t>Office(</w:t>
      </w:r>
      <w:proofErr w:type="gramEnd"/>
      <w:r>
        <w:t>2010)</w:t>
      </w:r>
      <w:r w:rsidRPr="00280290">
        <w:t xml:space="preserve"> National Disability </w:t>
      </w:r>
      <w:r>
        <w:t xml:space="preserve">Survey 2006: Volume 1. Dublin. </w:t>
      </w:r>
      <w:r w:rsidRPr="00280290">
        <w:rPr>
          <w:i/>
        </w:rPr>
        <w:t>Taken from Table 1.4 and Table 5.A, CSO (2010) Volume 1, pages 15 and 93</w:t>
      </w:r>
    </w:p>
  </w:footnote>
  <w:footnote w:id="2">
    <w:p w14:paraId="363FEBFB" w14:textId="77777777" w:rsidR="006C1607" w:rsidRPr="00280290" w:rsidRDefault="006C1607">
      <w:pPr>
        <w:pStyle w:val="FootnoteText"/>
      </w:pPr>
      <w:r w:rsidRPr="00280290">
        <w:rPr>
          <w:rStyle w:val="FootnoteReference"/>
        </w:rPr>
        <w:footnoteRef/>
      </w:r>
      <w:r w:rsidRPr="00280290">
        <w:t xml:space="preserve"> James Williams et al.</w:t>
      </w:r>
      <w:proofErr w:type="gramStart"/>
      <w:r w:rsidRPr="00280290">
        <w:t>,</w:t>
      </w:r>
      <w:r w:rsidRPr="00280290">
        <w:rPr>
          <w:lang w:val="en-US"/>
        </w:rPr>
        <w:t>(</w:t>
      </w:r>
      <w:proofErr w:type="gramEnd"/>
      <w:r>
        <w:t>2009)</w:t>
      </w:r>
      <w:r w:rsidRPr="00280290">
        <w:rPr>
          <w:i/>
        </w:rPr>
        <w:t>The Lives of 9-Years Olds</w:t>
      </w:r>
      <w:r w:rsidRPr="00280290">
        <w:t>, Growing Up in Ireland-National Longitudinal Study of Children, Office of the Minister</w:t>
      </w:r>
      <w:r>
        <w:t xml:space="preserve"> for Children and Youth Affairs.</w:t>
      </w:r>
    </w:p>
  </w:footnote>
  <w:footnote w:id="3">
    <w:p w14:paraId="4D4CBD25" w14:textId="77777777" w:rsidR="006C1607" w:rsidRPr="00030FD8" w:rsidRDefault="006C1607">
      <w:pPr>
        <w:pStyle w:val="FootnoteText"/>
        <w:rPr>
          <w:lang w:val="en-US"/>
        </w:rPr>
      </w:pPr>
      <w:r>
        <w:rPr>
          <w:rStyle w:val="FootnoteReference"/>
        </w:rPr>
        <w:footnoteRef/>
      </w:r>
      <w:r>
        <w:t xml:space="preserve"> </w:t>
      </w:r>
      <w:proofErr w:type="gramStart"/>
      <w:r>
        <w:rPr>
          <w:lang w:val="en-US"/>
        </w:rPr>
        <w:t>District Court (Civil Procedure) Rules 2014.</w:t>
      </w:r>
      <w:proofErr w:type="gramEnd"/>
    </w:p>
  </w:footnote>
  <w:footnote w:id="4">
    <w:p w14:paraId="140120CA" w14:textId="77777777" w:rsidR="006C1607" w:rsidRPr="00280290" w:rsidRDefault="006C1607">
      <w:pPr>
        <w:pStyle w:val="FootnoteText"/>
      </w:pPr>
      <w:r w:rsidRPr="00280290">
        <w:rPr>
          <w:rStyle w:val="FootnoteReference"/>
        </w:rPr>
        <w:footnoteRef/>
      </w:r>
      <w:r w:rsidRPr="00280290">
        <w:t xml:space="preserve"> Ireland has ratified Optional Protocol to the Convention on the Rights of the Child on the involvement of children in armed conflict and the Optional Protocol on the Convention on the Rights of the Child on a communications procedure. Ireland has not yet ratified the Optional Protocol to the Convention on the Rights of the Child on the sale of children, child prostitution and child pornography.</w:t>
      </w:r>
    </w:p>
  </w:footnote>
  <w:footnote w:id="5">
    <w:p w14:paraId="0A53B1E3" w14:textId="77777777" w:rsidR="006C1607" w:rsidRPr="00280290" w:rsidRDefault="006C1607">
      <w:pPr>
        <w:pStyle w:val="FootnoteText"/>
      </w:pPr>
      <w:r w:rsidRPr="00280290">
        <w:rPr>
          <w:rStyle w:val="FootnoteReference"/>
        </w:rPr>
        <w:footnoteRef/>
      </w:r>
      <w:proofErr w:type="gramStart"/>
      <w:r w:rsidRPr="00280290">
        <w:t>Article 12, Convention on the Rights of t</w:t>
      </w:r>
      <w:r>
        <w:t>he Child (1989).</w:t>
      </w:r>
      <w:proofErr w:type="gramEnd"/>
      <w:r>
        <w:t xml:space="preserve"> </w:t>
      </w:r>
      <w:proofErr w:type="gramStart"/>
      <w:r>
        <w:t>Available at &lt;</w:t>
      </w:r>
      <w:r w:rsidRPr="002E0C25">
        <w:t>http://www.ohchr.org/en/professionalinterest/pages/crc.aspx</w:t>
      </w:r>
      <w:r>
        <w:t>&gt; (l</w:t>
      </w:r>
      <w:r w:rsidRPr="00280290">
        <w:t>ast accessed 7 April 2015).</w:t>
      </w:r>
      <w:proofErr w:type="gramEnd"/>
    </w:p>
  </w:footnote>
  <w:footnote w:id="6">
    <w:p w14:paraId="47DC1666" w14:textId="77777777" w:rsidR="006C1607" w:rsidRPr="00280290" w:rsidRDefault="006C1607">
      <w:pPr>
        <w:pStyle w:val="FootnoteText"/>
        <w:rPr>
          <w:lang w:val="en-US"/>
        </w:rPr>
      </w:pPr>
      <w:r w:rsidRPr="00280290">
        <w:rPr>
          <w:rStyle w:val="FootnoteReference"/>
        </w:rPr>
        <w:footnoteRef/>
      </w:r>
      <w:r w:rsidRPr="00280290">
        <w:t xml:space="preserve"> </w:t>
      </w:r>
      <w:proofErr w:type="gramStart"/>
      <w:r w:rsidRPr="00280290">
        <w:t>Parliamentary Question 39756/13.</w:t>
      </w:r>
      <w:proofErr w:type="gramEnd"/>
      <w:r w:rsidRPr="00280290">
        <w:t xml:space="preserve"> </w:t>
      </w:r>
      <w:r w:rsidRPr="002E0C25">
        <w:t>Available at</w:t>
      </w:r>
      <w:r w:rsidRPr="00280290">
        <w:t>&lt;http://oireachtasdebates.oireachtas.ie/debates%20authoring/debateswebpack.nsf/(indexlookupdail)/20130925~WRG</w:t>
      </w:r>
      <w:proofErr w:type="gramStart"/>
      <w:r w:rsidRPr="00280290">
        <w:t>?opendocument</w:t>
      </w:r>
      <w:proofErr w:type="gramEnd"/>
      <w:r w:rsidRPr="00280290">
        <w:t>#WRG01500&gt; (last accessed 14 April 2015).</w:t>
      </w:r>
    </w:p>
  </w:footnote>
  <w:footnote w:id="7">
    <w:p w14:paraId="61542517" w14:textId="77777777" w:rsidR="006C1607" w:rsidRPr="00880607" w:rsidRDefault="006C1607">
      <w:pPr>
        <w:pStyle w:val="FootnoteText"/>
        <w:rPr>
          <w:lang w:val="en-US"/>
        </w:rPr>
      </w:pPr>
      <w:r>
        <w:rPr>
          <w:rStyle w:val="FootnoteReference"/>
        </w:rPr>
        <w:footnoteRef/>
      </w:r>
      <w:r>
        <w:t xml:space="preserve"> Committee of Ministers of the Council of Europe, </w:t>
      </w:r>
      <w:r>
        <w:rPr>
          <w:lang w:val="en-US"/>
        </w:rPr>
        <w:t xml:space="preserve">Child Guidelines of the Committee of Ministers of the Council of Europe on child-friendly justice and their explanatory memorandum (31 May 2011). </w:t>
      </w:r>
      <w:r>
        <w:rPr>
          <w:i/>
          <w:lang w:val="en-US"/>
        </w:rPr>
        <w:t>Available at</w:t>
      </w:r>
      <w:r>
        <w:rPr>
          <w:lang w:val="en-US"/>
        </w:rPr>
        <w:t xml:space="preserve"> &lt;</w:t>
      </w:r>
      <w:r w:rsidRPr="00880607">
        <w:t xml:space="preserve"> </w:t>
      </w:r>
      <w:r w:rsidRPr="00880607">
        <w:rPr>
          <w:lang w:val="en-US"/>
        </w:rPr>
        <w:t>http://www.coe.int/t/dghl/standardsetting/childjustice/Guidelines%20on%20child-friendly%20justice%20and%20their%20explanatory%20memorandum%20_4_</w:t>
      </w:r>
      <w:proofErr w:type="gramStart"/>
      <w:r w:rsidRPr="00880607">
        <w:rPr>
          <w:lang w:val="en-US"/>
        </w:rPr>
        <w:t>.pdf</w:t>
      </w:r>
      <w:proofErr w:type="gramEnd"/>
      <w:r>
        <w:rPr>
          <w:lang w:val="en-US"/>
        </w:rPr>
        <w:t>&gt; (last accessed 17 April 2015).</w:t>
      </w:r>
    </w:p>
  </w:footnote>
  <w:footnote w:id="8">
    <w:p w14:paraId="741FBB9E" w14:textId="77777777" w:rsidR="00253D8E" w:rsidRPr="00253D8E" w:rsidRDefault="00253D8E">
      <w:pPr>
        <w:pStyle w:val="FootnoteText"/>
        <w:rPr>
          <w:lang w:val="en-US"/>
        </w:rPr>
      </w:pPr>
      <w:r>
        <w:rPr>
          <w:rStyle w:val="FootnoteReference"/>
        </w:rPr>
        <w:footnoteRef/>
      </w:r>
      <w:r>
        <w:t xml:space="preserve"> </w:t>
      </w:r>
      <w:r>
        <w:rPr>
          <w:lang w:val="en-US"/>
        </w:rPr>
        <w:t xml:space="preserve">Directive 2012/29/EU, </w:t>
      </w:r>
      <w:r w:rsidRPr="00253D8E">
        <w:rPr>
          <w:bCs/>
          <w:i/>
          <w:lang w:val="en-US"/>
        </w:rPr>
        <w:t>Establishing minimum standards on the rights, support and protection of victims of crime</w:t>
      </w:r>
      <w:r>
        <w:rPr>
          <w:bCs/>
          <w:lang w:val="en-US"/>
        </w:rPr>
        <w:t xml:space="preserve"> (11/25/2012)</w:t>
      </w:r>
    </w:p>
  </w:footnote>
  <w:footnote w:id="9">
    <w:p w14:paraId="006D9B8E" w14:textId="77777777" w:rsidR="006533F4" w:rsidRPr="006533F4" w:rsidRDefault="006533F4">
      <w:pPr>
        <w:pStyle w:val="FootnoteText"/>
        <w:rPr>
          <w:lang w:val="en-US"/>
        </w:rPr>
      </w:pPr>
      <w:r>
        <w:rPr>
          <w:rStyle w:val="FootnoteReference"/>
        </w:rPr>
        <w:footnoteRef/>
      </w:r>
      <w:r>
        <w:t xml:space="preserve"> </w:t>
      </w:r>
      <w:r>
        <w:rPr>
          <w:i/>
        </w:rPr>
        <w:t>Proposal for a Directive of the European Parliament and of the Council on procedural safeguards for children suspected or accused in criminal proceedings</w:t>
      </w:r>
      <w:r>
        <w:t>, COM/2013/0822.</w:t>
      </w:r>
    </w:p>
  </w:footnote>
  <w:footnote w:id="10">
    <w:p w14:paraId="07F55382" w14:textId="77777777" w:rsidR="006533F4" w:rsidRPr="006533F4" w:rsidRDefault="006533F4">
      <w:pPr>
        <w:pStyle w:val="FootnoteText"/>
        <w:rPr>
          <w:lang w:val="en-US"/>
        </w:rPr>
      </w:pPr>
      <w:r>
        <w:rPr>
          <w:rStyle w:val="FootnoteReference"/>
        </w:rPr>
        <w:footnoteRef/>
      </w:r>
      <w:r>
        <w:t xml:space="preserve"> </w:t>
      </w:r>
      <w:r>
        <w:rPr>
          <w:lang w:val="en-US"/>
        </w:rPr>
        <w:t>Mental Disability Advocacy Center &lt;</w:t>
      </w:r>
      <w:r w:rsidRPr="006533F4">
        <w:t xml:space="preserve"> </w:t>
      </w:r>
      <w:r w:rsidRPr="006533F4">
        <w:rPr>
          <w:lang w:val="en-US"/>
        </w:rPr>
        <w:t>http://mdac.org/en</w:t>
      </w:r>
      <w:r>
        <w:rPr>
          <w:lang w:val="en-US"/>
        </w:rPr>
        <w:t>&gt; (last accessed 17 April 2015).</w:t>
      </w:r>
    </w:p>
  </w:footnote>
  <w:footnote w:id="11">
    <w:p w14:paraId="69914930" w14:textId="77777777" w:rsidR="006C1607" w:rsidRPr="00280290" w:rsidRDefault="006C1607">
      <w:pPr>
        <w:pStyle w:val="FootnoteText"/>
      </w:pPr>
      <w:r w:rsidRPr="00280290">
        <w:rPr>
          <w:rStyle w:val="FootnoteReference"/>
        </w:rPr>
        <w:footnoteRef/>
      </w:r>
      <w:proofErr w:type="gramStart"/>
      <w:r w:rsidRPr="00280290">
        <w:t>Constitution of Ireland, Art.</w:t>
      </w:r>
      <w:proofErr w:type="gramEnd"/>
      <w:r w:rsidRPr="00280290">
        <w:t xml:space="preserve"> 42</w:t>
      </w:r>
      <w:r>
        <w:t>.</w:t>
      </w:r>
    </w:p>
  </w:footnote>
  <w:footnote w:id="12">
    <w:p w14:paraId="05B1AD2A" w14:textId="77777777" w:rsidR="006C1607" w:rsidRPr="00280290" w:rsidRDefault="006C1607">
      <w:pPr>
        <w:pStyle w:val="FootnoteText"/>
      </w:pPr>
      <w:r w:rsidRPr="00280290">
        <w:rPr>
          <w:rStyle w:val="FootnoteReference"/>
        </w:rPr>
        <w:footnoteRef/>
      </w:r>
      <w:proofErr w:type="gramStart"/>
      <w:r w:rsidRPr="00280290">
        <w:t>C</w:t>
      </w:r>
      <w:r>
        <w:t>onstitution of Ireland, Art 42.3, 42.</w:t>
      </w:r>
      <w:r w:rsidRPr="00280290">
        <w:t>4.</w:t>
      </w:r>
      <w:proofErr w:type="gramEnd"/>
    </w:p>
  </w:footnote>
  <w:footnote w:id="13">
    <w:p w14:paraId="0C4CE3A7" w14:textId="77777777" w:rsidR="006C1607" w:rsidRPr="00280290" w:rsidRDefault="006C1607">
      <w:pPr>
        <w:pStyle w:val="FootnoteText"/>
      </w:pPr>
      <w:r w:rsidRPr="00280290">
        <w:rPr>
          <w:rStyle w:val="FootnoteReference"/>
        </w:rPr>
        <w:footnoteRef/>
      </w:r>
      <w:r w:rsidRPr="00280290">
        <w:t xml:space="preserve"> </w:t>
      </w:r>
      <w:proofErr w:type="gramStart"/>
      <w:r w:rsidRPr="00280290">
        <w:t>C</w:t>
      </w:r>
      <w:r>
        <w:t>onstitution of Ireland, Art 42.</w:t>
      </w:r>
      <w:r w:rsidRPr="00280290">
        <w:t>5</w:t>
      </w:r>
      <w:r>
        <w:t>.</w:t>
      </w:r>
      <w:proofErr w:type="gramEnd"/>
    </w:p>
  </w:footnote>
  <w:footnote w:id="14">
    <w:p w14:paraId="7CC62467" w14:textId="77777777" w:rsidR="006C1607" w:rsidRPr="00280290" w:rsidRDefault="006C1607" w:rsidP="00F9763E">
      <w:pPr>
        <w:pStyle w:val="FootnoteText"/>
      </w:pPr>
      <w:r w:rsidRPr="00280290">
        <w:rPr>
          <w:rStyle w:val="FootnoteReference"/>
        </w:rPr>
        <w:footnoteRef/>
      </w:r>
      <w:r>
        <w:t xml:space="preserve"> </w:t>
      </w:r>
      <w:proofErr w:type="gramStart"/>
      <w:r w:rsidRPr="00280290">
        <w:t>Constitution of Ireland</w:t>
      </w:r>
      <w:r>
        <w:t xml:space="preserve">, </w:t>
      </w:r>
      <w:r w:rsidRPr="00280290">
        <w:rPr>
          <w:lang w:val="en-US"/>
        </w:rPr>
        <w:t>A</w:t>
      </w:r>
      <w:r>
        <w:t>rt.</w:t>
      </w:r>
      <w:proofErr w:type="gramEnd"/>
      <w:r>
        <w:t xml:space="preserve"> 41</w:t>
      </w:r>
      <w:r w:rsidRPr="00280290">
        <w:t>.</w:t>
      </w:r>
    </w:p>
  </w:footnote>
  <w:footnote w:id="15">
    <w:p w14:paraId="586F8019" w14:textId="77777777" w:rsidR="006C1607" w:rsidRPr="00280290" w:rsidRDefault="006C1607">
      <w:pPr>
        <w:pStyle w:val="FootnoteText"/>
        <w:rPr>
          <w:lang w:val="en-US"/>
        </w:rPr>
      </w:pPr>
      <w:r w:rsidRPr="00280290">
        <w:rPr>
          <w:rStyle w:val="FootnoteReference"/>
        </w:rPr>
        <w:footnoteRef/>
      </w:r>
      <w:r w:rsidRPr="00280290">
        <w:t xml:space="preserve"> Elaine Dewhurst, ‘</w:t>
      </w:r>
      <w:r w:rsidRPr="00280290">
        <w:rPr>
          <w:rFonts w:cs="Arial"/>
          <w:bCs/>
          <w:lang w:val="en-US"/>
        </w:rPr>
        <w:t xml:space="preserve">The Recent Development of the Irish Equality Guarantee by the Superior </w:t>
      </w:r>
      <w:proofErr w:type="gramStart"/>
      <w:r w:rsidRPr="00280290">
        <w:rPr>
          <w:rFonts w:cs="Arial"/>
          <w:bCs/>
          <w:lang w:val="en-US"/>
        </w:rPr>
        <w:t>Courts’</w:t>
      </w:r>
      <w:r w:rsidRPr="00280290">
        <w:rPr>
          <w:rFonts w:cs="Arial"/>
          <w:lang w:val="en-US"/>
        </w:rPr>
        <w:t>17(</w:t>
      </w:r>
      <w:proofErr w:type="gramEnd"/>
      <w:r w:rsidRPr="00280290">
        <w:rPr>
          <w:rFonts w:cs="Arial"/>
          <w:lang w:val="en-US"/>
        </w:rPr>
        <w:t xml:space="preserve">5) </w:t>
      </w:r>
      <w:r w:rsidRPr="00280290">
        <w:rPr>
          <w:rFonts w:cs="Arial"/>
          <w:i/>
          <w:lang w:val="en-US"/>
        </w:rPr>
        <w:t>Bar Review</w:t>
      </w:r>
      <w:r w:rsidRPr="00280290">
        <w:rPr>
          <w:rFonts w:cs="Arial"/>
          <w:lang w:val="en-US"/>
        </w:rPr>
        <w:t xml:space="preserve"> 115 (2012).</w:t>
      </w:r>
    </w:p>
  </w:footnote>
  <w:footnote w:id="16">
    <w:p w14:paraId="48922283" w14:textId="77777777" w:rsidR="006C1607" w:rsidRPr="00280290" w:rsidRDefault="006C1607" w:rsidP="00F9763E">
      <w:pPr>
        <w:pStyle w:val="FootnoteText"/>
      </w:pPr>
      <w:r w:rsidRPr="00280290">
        <w:rPr>
          <w:rStyle w:val="FootnoteReference"/>
        </w:rPr>
        <w:footnoteRef/>
      </w:r>
      <w:r>
        <w:rPr>
          <w:lang w:val="en-US"/>
        </w:rPr>
        <w:t xml:space="preserve"> </w:t>
      </w:r>
      <w:proofErr w:type="gramStart"/>
      <w:r w:rsidRPr="00280290">
        <w:rPr>
          <w:lang w:val="en-US"/>
        </w:rPr>
        <w:t>S</w:t>
      </w:r>
      <w:r w:rsidRPr="00280290">
        <w:t>4 Equal Status Act 2000.</w:t>
      </w:r>
      <w:proofErr w:type="gramEnd"/>
    </w:p>
  </w:footnote>
  <w:footnote w:id="17">
    <w:p w14:paraId="2942D6DB" w14:textId="77777777" w:rsidR="006C1607" w:rsidRPr="00280290" w:rsidRDefault="006C1607" w:rsidP="00F9763E">
      <w:pPr>
        <w:pStyle w:val="FootnoteText"/>
      </w:pPr>
      <w:r w:rsidRPr="00280290">
        <w:rPr>
          <w:rStyle w:val="FootnoteReference"/>
        </w:rPr>
        <w:footnoteRef/>
      </w:r>
      <w:r>
        <w:t xml:space="preserve"> </w:t>
      </w:r>
      <w:proofErr w:type="gramStart"/>
      <w:r w:rsidRPr="00280290">
        <w:t>S4 Equal Status Act 2000.</w:t>
      </w:r>
      <w:proofErr w:type="gramEnd"/>
    </w:p>
  </w:footnote>
  <w:footnote w:id="18">
    <w:p w14:paraId="04394C2E" w14:textId="77777777" w:rsidR="006C1607" w:rsidRPr="00280290" w:rsidRDefault="006C1607" w:rsidP="00F9763E">
      <w:pPr>
        <w:pStyle w:val="FootnoteText"/>
      </w:pPr>
      <w:r w:rsidRPr="00280290">
        <w:rPr>
          <w:rStyle w:val="FootnoteReference"/>
        </w:rPr>
        <w:footnoteRef/>
      </w:r>
      <w:r>
        <w:t xml:space="preserve"> </w:t>
      </w:r>
      <w:proofErr w:type="gramStart"/>
      <w:r w:rsidRPr="00280290">
        <w:t>S14 Equal Status Act 2000.</w:t>
      </w:r>
      <w:proofErr w:type="gramEnd"/>
    </w:p>
  </w:footnote>
  <w:footnote w:id="19">
    <w:p w14:paraId="252C322A" w14:textId="77777777" w:rsidR="006C1607" w:rsidRPr="00280290" w:rsidRDefault="006C1607" w:rsidP="00F9763E">
      <w:pPr>
        <w:pStyle w:val="FootnoteText"/>
      </w:pPr>
      <w:r w:rsidRPr="00280290">
        <w:rPr>
          <w:rStyle w:val="FootnoteReference"/>
        </w:rPr>
        <w:footnoteRef/>
      </w:r>
      <w:r w:rsidRPr="00280290">
        <w:t xml:space="preserve"> Interview with Child Rights Expert conducted by Eilionoir Flynn and Jenni Kline on 24 January 2014.</w:t>
      </w:r>
    </w:p>
  </w:footnote>
  <w:footnote w:id="20">
    <w:p w14:paraId="2B8D4A9A" w14:textId="77777777" w:rsidR="006C1607" w:rsidRPr="00280290" w:rsidRDefault="006C1607" w:rsidP="00FD5932">
      <w:pPr>
        <w:pStyle w:val="FootnoteText"/>
      </w:pPr>
      <w:r w:rsidRPr="00280290">
        <w:rPr>
          <w:rStyle w:val="FootnoteReference"/>
        </w:rPr>
        <w:footnoteRef/>
      </w:r>
      <w:r w:rsidRPr="00280290">
        <w:t xml:space="preserve"> Department of Health, </w:t>
      </w:r>
      <w:r w:rsidRPr="00280290">
        <w:rPr>
          <w:i/>
        </w:rPr>
        <w:t>Launch of Children First- National Guidelines for the Protection and Welfare of Children</w:t>
      </w:r>
      <w:r w:rsidRPr="00280290">
        <w:t>, (21 September 1999) &lt;http://www.dohc.ie/press/releases/1999/19990921.html&gt; last accessed 26 September 2013.</w:t>
      </w:r>
    </w:p>
  </w:footnote>
  <w:footnote w:id="21">
    <w:p w14:paraId="6673CB83" w14:textId="77777777" w:rsidR="006C1607" w:rsidRPr="00280290" w:rsidRDefault="006C1607" w:rsidP="00FD5932">
      <w:pPr>
        <w:pStyle w:val="FootnoteText"/>
      </w:pPr>
      <w:r w:rsidRPr="00280290">
        <w:rPr>
          <w:rStyle w:val="FootnoteReference"/>
        </w:rPr>
        <w:footnoteRef/>
      </w:r>
      <w:r>
        <w:t xml:space="preserve"> </w:t>
      </w:r>
      <w:proofErr w:type="gramStart"/>
      <w:r w:rsidRPr="00280290">
        <w:t xml:space="preserve">Department for Children and Youth Affairs, </w:t>
      </w:r>
      <w:r w:rsidRPr="00280290">
        <w:rPr>
          <w:i/>
        </w:rPr>
        <w:t>Children First National Guidance for the Protection and Welfare of Children</w:t>
      </w:r>
      <w:r w:rsidRPr="00280290">
        <w:t>, (2011) 2.</w:t>
      </w:r>
      <w:proofErr w:type="gramEnd"/>
    </w:p>
  </w:footnote>
  <w:footnote w:id="22">
    <w:p w14:paraId="03534B11" w14:textId="77777777" w:rsidR="006C1607" w:rsidRPr="00280290" w:rsidRDefault="006C1607" w:rsidP="00FD5932">
      <w:pPr>
        <w:pStyle w:val="FootnoteText"/>
      </w:pPr>
      <w:r w:rsidRPr="00280290">
        <w:rPr>
          <w:rStyle w:val="FootnoteReference"/>
        </w:rPr>
        <w:footnoteRef/>
      </w:r>
      <w:r>
        <w:rPr>
          <w:lang w:val="en-US"/>
        </w:rPr>
        <w:t xml:space="preserve"> </w:t>
      </w:r>
      <w:proofErr w:type="gramStart"/>
      <w:r w:rsidRPr="00280290">
        <w:rPr>
          <w:lang w:val="en-US"/>
        </w:rPr>
        <w:t>S</w:t>
      </w:r>
      <w:r w:rsidRPr="00280290">
        <w:t xml:space="preserve">1.1.1 (iv), Department for Children and Youth Affairs, </w:t>
      </w:r>
      <w:r w:rsidRPr="00280290">
        <w:rPr>
          <w:i/>
        </w:rPr>
        <w:t>Children First National Guidance for the Protection and Welfare of Children</w:t>
      </w:r>
      <w:r w:rsidRPr="00280290">
        <w:t>, (2011) 4.</w:t>
      </w:r>
      <w:proofErr w:type="gramEnd"/>
    </w:p>
  </w:footnote>
  <w:footnote w:id="23">
    <w:p w14:paraId="2D7382ED" w14:textId="77777777" w:rsidR="006C1607" w:rsidRPr="00280290" w:rsidRDefault="006C1607" w:rsidP="00FD5932">
      <w:pPr>
        <w:pStyle w:val="FootnoteText"/>
      </w:pPr>
      <w:r w:rsidRPr="00280290">
        <w:rPr>
          <w:rStyle w:val="FootnoteReference"/>
        </w:rPr>
        <w:footnoteRef/>
      </w:r>
      <w:r>
        <w:t xml:space="preserve"> </w:t>
      </w:r>
      <w:r w:rsidRPr="00280290">
        <w:t>Office of the Minister for</w:t>
      </w:r>
      <w:r>
        <w:t xml:space="preserve"> Children and Youth Affairs, </w:t>
      </w:r>
      <w:r>
        <w:rPr>
          <w:i/>
        </w:rPr>
        <w:t>National Review of C</w:t>
      </w:r>
      <w:r w:rsidRPr="00280290">
        <w:rPr>
          <w:i/>
        </w:rPr>
        <w:t>ompliance with Children First: National Guidelines for the Protection and Welfare of Children</w:t>
      </w:r>
      <w:r w:rsidRPr="00280290">
        <w:t xml:space="preserve"> (July 2008) 5. </w:t>
      </w:r>
      <w:proofErr w:type="gramStart"/>
      <w:r>
        <w:t xml:space="preserve">Available at </w:t>
      </w:r>
      <w:r w:rsidRPr="00280290">
        <w:t>&lt;http://www.dcya.gov.ie/documents/publications/CF_Compliance.pdf&gt;</w:t>
      </w:r>
      <w:r>
        <w:t xml:space="preserve">(last </w:t>
      </w:r>
      <w:r w:rsidRPr="00280290">
        <w:t>accessed 27 September 2013</w:t>
      </w:r>
      <w:r>
        <w:t>)</w:t>
      </w:r>
      <w:r w:rsidRPr="00280290">
        <w:t>.</w:t>
      </w:r>
      <w:proofErr w:type="gramEnd"/>
    </w:p>
  </w:footnote>
  <w:footnote w:id="24">
    <w:p w14:paraId="437276F8" w14:textId="77777777" w:rsidR="006C1607" w:rsidRPr="00280290" w:rsidRDefault="006C1607" w:rsidP="00FD5932">
      <w:pPr>
        <w:pStyle w:val="FootnoteText"/>
      </w:pPr>
      <w:r w:rsidRPr="00280290">
        <w:rPr>
          <w:rStyle w:val="FootnoteReference"/>
        </w:rPr>
        <w:footnoteRef/>
      </w:r>
      <w:r>
        <w:t xml:space="preserve"> </w:t>
      </w:r>
      <w:r w:rsidRPr="00280290">
        <w:t>Office of the Minister f</w:t>
      </w:r>
      <w:r>
        <w:t xml:space="preserve">or Children and Youth Affairs, </w:t>
      </w:r>
      <w:r>
        <w:rPr>
          <w:i/>
        </w:rPr>
        <w:t>National Review of C</w:t>
      </w:r>
      <w:r w:rsidRPr="00280290">
        <w:rPr>
          <w:i/>
        </w:rPr>
        <w:t>ompliance with Children First: National Guidelines for the Protection and Welfare of Children</w:t>
      </w:r>
      <w:r w:rsidRPr="00280290">
        <w:t xml:space="preserve"> (July 2008) 5. </w:t>
      </w:r>
      <w:proofErr w:type="gramStart"/>
      <w:r>
        <w:t xml:space="preserve">Available at </w:t>
      </w:r>
      <w:r w:rsidRPr="00280290">
        <w:t>&lt;http://www.dcya.gov.ie/documents/publications/CF_Compliance.pdf&gt;</w:t>
      </w:r>
      <w:r>
        <w:t xml:space="preserve">(last </w:t>
      </w:r>
      <w:r w:rsidRPr="00280290">
        <w:t>accessed 27 September 2013</w:t>
      </w:r>
      <w:r>
        <w:t>)</w:t>
      </w:r>
      <w:r w:rsidRPr="00280290">
        <w:t>.</w:t>
      </w:r>
      <w:proofErr w:type="gramEnd"/>
    </w:p>
  </w:footnote>
  <w:footnote w:id="25">
    <w:p w14:paraId="194AF3C5" w14:textId="77777777" w:rsidR="006C1607" w:rsidRPr="00280290" w:rsidRDefault="006C1607" w:rsidP="00FD5932">
      <w:pPr>
        <w:pStyle w:val="FootnoteText"/>
      </w:pPr>
      <w:r w:rsidRPr="00280290">
        <w:rPr>
          <w:rStyle w:val="FootnoteReference"/>
        </w:rPr>
        <w:footnoteRef/>
      </w:r>
      <w:r w:rsidRPr="00280290">
        <w:t xml:space="preserve"> Ursula Kilkelly</w:t>
      </w:r>
      <w:proofErr w:type="gramStart"/>
      <w:r>
        <w:t>,</w:t>
      </w:r>
      <w:r w:rsidRPr="00280290">
        <w:rPr>
          <w:i/>
        </w:rPr>
        <w:t>Learning</w:t>
      </w:r>
      <w:proofErr w:type="gramEnd"/>
      <w:r w:rsidRPr="00280290">
        <w:rPr>
          <w:i/>
        </w:rPr>
        <w:t xml:space="preserve"> Lessons from the Past: Legal Issues Arising from Ireland’s Child Abuse Reports</w:t>
      </w:r>
      <w:r w:rsidRPr="00280290">
        <w:t>, Irish Journal of Applie</w:t>
      </w:r>
      <w:r>
        <w:t xml:space="preserve">d Social Studies 12 (2) (2012) </w:t>
      </w:r>
      <w:r w:rsidRPr="00280290">
        <w:t>pp8-24, 16.</w:t>
      </w:r>
    </w:p>
  </w:footnote>
  <w:footnote w:id="26">
    <w:p w14:paraId="6B7680B7" w14:textId="77777777" w:rsidR="006C1607" w:rsidRPr="00280290" w:rsidRDefault="006C1607" w:rsidP="00FD5932">
      <w:pPr>
        <w:pStyle w:val="FootnoteText"/>
      </w:pPr>
      <w:r w:rsidRPr="00280290">
        <w:rPr>
          <w:rStyle w:val="FootnoteReference"/>
        </w:rPr>
        <w:footnoteRef/>
      </w:r>
      <w:r>
        <w:t xml:space="preserve"> </w:t>
      </w:r>
      <w:r w:rsidRPr="00280290">
        <w:t>Ibid.</w:t>
      </w:r>
    </w:p>
  </w:footnote>
  <w:footnote w:id="27">
    <w:p w14:paraId="3C34D681" w14:textId="77777777" w:rsidR="006C1607" w:rsidRPr="00280290" w:rsidRDefault="006C1607" w:rsidP="00D32AAB">
      <w:pPr>
        <w:pStyle w:val="FootnoteText"/>
      </w:pPr>
      <w:r w:rsidRPr="00280290">
        <w:rPr>
          <w:rStyle w:val="FootnoteReference"/>
        </w:rPr>
        <w:footnoteRef/>
      </w:r>
      <w:r>
        <w:t xml:space="preserve"> </w:t>
      </w:r>
      <w:r w:rsidRPr="00280290">
        <w:t xml:space="preserve">Minister for Children and Young People, </w:t>
      </w:r>
      <w:r w:rsidRPr="00280290">
        <w:rPr>
          <w:i/>
        </w:rPr>
        <w:t xml:space="preserve">Better Outcomes, Brighter Futures: The National Policy Framework for Children and Young People 2014-2020 </w:t>
      </w:r>
      <w:r w:rsidRPr="00280290">
        <w:t>(Dublin) 35.</w:t>
      </w:r>
    </w:p>
  </w:footnote>
  <w:footnote w:id="28">
    <w:p w14:paraId="5215ED9A" w14:textId="77777777" w:rsidR="006C1607" w:rsidRPr="00280290" w:rsidRDefault="006C1607" w:rsidP="00D32AAB">
      <w:pPr>
        <w:pStyle w:val="FootnoteText"/>
      </w:pPr>
      <w:r w:rsidRPr="00280290">
        <w:rPr>
          <w:rStyle w:val="FootnoteReference"/>
        </w:rPr>
        <w:footnoteRef/>
      </w:r>
      <w:r>
        <w:t xml:space="preserve"> </w:t>
      </w:r>
      <w:r w:rsidRPr="00280290">
        <w:t xml:space="preserve">Minister for Children and Young People, </w:t>
      </w:r>
      <w:r w:rsidRPr="00280290">
        <w:rPr>
          <w:i/>
        </w:rPr>
        <w:t>Better Outcomes, Brighter Futures: The National Policy Framework for Children and Young People 2014-2020</w:t>
      </w:r>
      <w:r w:rsidRPr="00280290">
        <w:t xml:space="preserve"> (Dublin) 52.</w:t>
      </w:r>
    </w:p>
  </w:footnote>
  <w:footnote w:id="29">
    <w:p w14:paraId="2E490583" w14:textId="77777777" w:rsidR="006C1607" w:rsidRPr="00280290" w:rsidRDefault="006C1607" w:rsidP="00F56986">
      <w:pPr>
        <w:pStyle w:val="FootnoteText"/>
      </w:pPr>
      <w:r w:rsidRPr="00280290">
        <w:rPr>
          <w:rStyle w:val="FootnoteReference"/>
        </w:rPr>
        <w:footnoteRef/>
      </w:r>
      <w:r>
        <w:rPr>
          <w:lang w:val="en-US"/>
        </w:rPr>
        <w:t xml:space="preserve"> </w:t>
      </w:r>
      <w:proofErr w:type="gramStart"/>
      <w:r w:rsidRPr="00280290">
        <w:rPr>
          <w:lang w:val="en-US"/>
        </w:rPr>
        <w:t>A</w:t>
      </w:r>
      <w:r w:rsidRPr="00280290">
        <w:t>rt</w:t>
      </w:r>
      <w:r w:rsidRPr="00280290">
        <w:rPr>
          <w:lang w:val="en-US"/>
        </w:rPr>
        <w:t>.</w:t>
      </w:r>
      <w:r w:rsidRPr="00280290">
        <w:t>42a(</w:t>
      </w:r>
      <w:proofErr w:type="gramEnd"/>
      <w:r w:rsidRPr="00280290">
        <w:t>1), Thirty-First Amendment of the Constitution Children Bill (2012).</w:t>
      </w:r>
    </w:p>
  </w:footnote>
  <w:footnote w:id="30">
    <w:p w14:paraId="426540E4" w14:textId="77777777" w:rsidR="006C1607" w:rsidRPr="00280290" w:rsidRDefault="006C1607" w:rsidP="00F56986">
      <w:pPr>
        <w:pStyle w:val="FootnoteText"/>
      </w:pPr>
      <w:r w:rsidRPr="00280290">
        <w:rPr>
          <w:rStyle w:val="FootnoteReference"/>
        </w:rPr>
        <w:footnoteRef/>
      </w:r>
      <w:r>
        <w:t xml:space="preserve"> </w:t>
      </w:r>
      <w:proofErr w:type="gramStart"/>
      <w:r w:rsidRPr="00280290">
        <w:t>Art</w:t>
      </w:r>
      <w:r w:rsidRPr="00280290">
        <w:rPr>
          <w:lang w:val="en-US"/>
        </w:rPr>
        <w:t>.</w:t>
      </w:r>
      <w:r w:rsidRPr="00280290">
        <w:t>42a(</w:t>
      </w:r>
      <w:proofErr w:type="gramEnd"/>
      <w:r w:rsidRPr="00280290">
        <w:t>2), Thirty-First Amendment of the Constitution Children Bill (2012).</w:t>
      </w:r>
    </w:p>
  </w:footnote>
  <w:footnote w:id="31">
    <w:p w14:paraId="41773D8D" w14:textId="77777777" w:rsidR="006C1607" w:rsidRPr="00280290" w:rsidRDefault="006C1607" w:rsidP="00F56986">
      <w:pPr>
        <w:pStyle w:val="FootnoteText"/>
      </w:pPr>
      <w:r w:rsidRPr="00280290">
        <w:rPr>
          <w:rStyle w:val="FootnoteReference"/>
        </w:rPr>
        <w:footnoteRef/>
      </w:r>
      <w:r>
        <w:rPr>
          <w:lang w:val="en-US"/>
        </w:rPr>
        <w:t xml:space="preserve"> </w:t>
      </w:r>
      <w:proofErr w:type="gramStart"/>
      <w:r w:rsidRPr="00280290">
        <w:rPr>
          <w:lang w:val="en-US"/>
        </w:rPr>
        <w:t>A</w:t>
      </w:r>
      <w:r w:rsidRPr="00280290">
        <w:t>rt</w:t>
      </w:r>
      <w:r w:rsidRPr="00280290">
        <w:rPr>
          <w:lang w:val="en-US"/>
        </w:rPr>
        <w:t>.</w:t>
      </w:r>
      <w:r w:rsidRPr="00280290">
        <w:t>42a(</w:t>
      </w:r>
      <w:proofErr w:type="gramEnd"/>
      <w:r w:rsidRPr="00280290">
        <w:t>4), Thirty-First Amendment of the Constitution Children Bill (2012).</w:t>
      </w:r>
    </w:p>
  </w:footnote>
  <w:footnote w:id="32">
    <w:p w14:paraId="16811215" w14:textId="77777777" w:rsidR="006C1607" w:rsidRPr="00280290" w:rsidRDefault="006C1607" w:rsidP="00F56986">
      <w:pPr>
        <w:pStyle w:val="FootnoteText"/>
      </w:pPr>
      <w:r w:rsidRPr="00280290">
        <w:rPr>
          <w:rStyle w:val="FootnoteReference"/>
        </w:rPr>
        <w:footnoteRef/>
      </w:r>
      <w:r>
        <w:t xml:space="preserve"> </w:t>
      </w:r>
      <w:r w:rsidRPr="00280290">
        <w:t xml:space="preserve">Deputy Minister for Children and Youth Affairs Frances Fitzgerald, </w:t>
      </w:r>
      <w:r w:rsidRPr="00280290">
        <w:rPr>
          <w:i/>
        </w:rPr>
        <w:t>Written Answer 185-Proposed Legislation</w:t>
      </w:r>
      <w:r w:rsidRPr="00280290">
        <w:t xml:space="preserve">, (14 November 2013). [48640/13]. </w:t>
      </w:r>
      <w:r>
        <w:t xml:space="preserve">Available at </w:t>
      </w:r>
      <w:r w:rsidRPr="00280290">
        <w:t>&lt;http://oireachtasdebates.oireachtas.ie/debates%20authoring/debateswebpack.nsf/takes/dail2013111400075</w:t>
      </w:r>
      <w:proofErr w:type="gramStart"/>
      <w:r w:rsidRPr="00280290">
        <w:t>?opendocument</w:t>
      </w:r>
      <w:proofErr w:type="gramEnd"/>
      <w:r w:rsidRPr="00280290">
        <w:t>#N18&gt;</w:t>
      </w:r>
      <w:r>
        <w:t>(</w:t>
      </w:r>
      <w:r w:rsidRPr="00280290">
        <w:t>last accessed 10 March 2014</w:t>
      </w:r>
      <w:r>
        <w:t>)</w:t>
      </w:r>
      <w:r w:rsidRPr="00280290">
        <w:t>.</w:t>
      </w:r>
    </w:p>
  </w:footnote>
  <w:footnote w:id="33">
    <w:p w14:paraId="709F6A85" w14:textId="77777777" w:rsidR="006C1607" w:rsidRPr="00280290" w:rsidRDefault="006C1607" w:rsidP="00F56986">
      <w:pPr>
        <w:pStyle w:val="FootnoteText"/>
      </w:pPr>
      <w:r w:rsidRPr="00280290">
        <w:rPr>
          <w:rStyle w:val="FootnoteReference"/>
        </w:rPr>
        <w:footnoteRef/>
      </w:r>
      <w:r>
        <w:t xml:space="preserve"> </w:t>
      </w:r>
      <w:r w:rsidRPr="00280290">
        <w:t xml:space="preserve">Interview with District Court Judge </w:t>
      </w:r>
      <w:r>
        <w:t>by Jenni Kline on 10 March 2014</w:t>
      </w:r>
      <w:r w:rsidRPr="00280290">
        <w:t>: Interview with Dublin barrister by Jenni Kline on 14 March 2014: Interview with Child Advocacy representative by Jenni Kline on 1 April 2014.</w:t>
      </w:r>
    </w:p>
  </w:footnote>
  <w:footnote w:id="34">
    <w:p w14:paraId="2EC667AE" w14:textId="77777777" w:rsidR="006C1607" w:rsidRPr="00280290" w:rsidRDefault="006C1607" w:rsidP="00F56986">
      <w:pPr>
        <w:pStyle w:val="FootnoteText"/>
      </w:pPr>
      <w:r w:rsidRPr="00280290">
        <w:rPr>
          <w:rStyle w:val="FootnoteReference"/>
        </w:rPr>
        <w:footnoteRef/>
      </w:r>
      <w:r>
        <w:t xml:space="preserve"> </w:t>
      </w:r>
      <w:r w:rsidRPr="00280290">
        <w:t xml:space="preserve">Gareth Noble, </w:t>
      </w:r>
      <w:r w:rsidRPr="00280290">
        <w:rPr>
          <w:i/>
        </w:rPr>
        <w:t>The Children’s Referendum: Little to Write Home About</w:t>
      </w:r>
      <w:r w:rsidRPr="00280290">
        <w:t>, Human Rights in Ireland, (26</w:t>
      </w:r>
      <w:r>
        <w:t xml:space="preserve"> October 2012).  </w:t>
      </w:r>
      <w:proofErr w:type="gramStart"/>
      <w:r>
        <w:t>Available at &lt;</w:t>
      </w:r>
      <w:r w:rsidRPr="00280290">
        <w:t>http://humanrights.ie/children-and-the-law/the-childrens-referendum-childrens-rights-in-practice/&gt;</w:t>
      </w:r>
      <w:r>
        <w:t>(</w:t>
      </w:r>
      <w:r w:rsidRPr="00280290">
        <w:t>last accessed 26 March 2014</w:t>
      </w:r>
      <w:r>
        <w:t>);</w:t>
      </w:r>
      <w:r w:rsidRPr="00280290">
        <w:t xml:space="preserve"> Gareth Noble, </w:t>
      </w:r>
      <w:r w:rsidRPr="00280290">
        <w:rPr>
          <w:i/>
        </w:rPr>
        <w:t>Painting a brighter future?</w:t>
      </w:r>
      <w:proofErr w:type="gramEnd"/>
      <w:r w:rsidRPr="00280290">
        <w:t xml:space="preserve"> Irish Examiner, (5</w:t>
      </w:r>
      <w:r>
        <w:t xml:space="preserve"> November 2012). </w:t>
      </w:r>
      <w:proofErr w:type="gramStart"/>
      <w:r>
        <w:t>Available at &lt;</w:t>
      </w:r>
      <w:r w:rsidRPr="00280290">
        <w:t>http://www.irishexaminer.com/analysis/painting-</w:t>
      </w:r>
      <w:r>
        <w:t>a-brighter-future-212919.html&gt; (last a</w:t>
      </w:r>
      <w:r w:rsidRPr="00280290">
        <w:t>ccessed 26 March 2014</w:t>
      </w:r>
      <w:r>
        <w:t>)</w:t>
      </w:r>
      <w:r w:rsidRPr="00280290">
        <w:t>.</w:t>
      </w:r>
      <w:proofErr w:type="gramEnd"/>
    </w:p>
  </w:footnote>
  <w:footnote w:id="35">
    <w:p w14:paraId="0C843F54" w14:textId="77777777" w:rsidR="006C1607" w:rsidRPr="00280290" w:rsidRDefault="006C1607" w:rsidP="00F56986">
      <w:pPr>
        <w:pStyle w:val="FootnoteText"/>
      </w:pPr>
      <w:r w:rsidRPr="00280290">
        <w:rPr>
          <w:rStyle w:val="FootnoteReference"/>
        </w:rPr>
        <w:footnoteRef/>
      </w:r>
      <w:r>
        <w:t xml:space="preserve"> </w:t>
      </w:r>
      <w:r w:rsidRPr="00280290">
        <w:t>Ibid.</w:t>
      </w:r>
    </w:p>
  </w:footnote>
  <w:footnote w:id="36">
    <w:p w14:paraId="487E2712" w14:textId="77777777" w:rsidR="006C1607" w:rsidRPr="00280290" w:rsidRDefault="006C1607" w:rsidP="00E34C76">
      <w:pPr>
        <w:pStyle w:val="FootnoteText"/>
      </w:pPr>
      <w:r w:rsidRPr="00280290">
        <w:rPr>
          <w:rStyle w:val="FootnoteReference"/>
        </w:rPr>
        <w:footnoteRef/>
      </w:r>
      <w:r>
        <w:t xml:space="preserve"> </w:t>
      </w:r>
      <w:proofErr w:type="gramStart"/>
      <w:r>
        <w:t>S</w:t>
      </w:r>
      <w:r w:rsidRPr="00280290">
        <w:t>9(</w:t>
      </w:r>
      <w:proofErr w:type="gramEnd"/>
      <w:r w:rsidRPr="00280290">
        <w:t>3)Child and Family Agency Act 2013.</w:t>
      </w:r>
    </w:p>
  </w:footnote>
  <w:footnote w:id="37">
    <w:p w14:paraId="2AADC82A" w14:textId="77777777" w:rsidR="006C1607" w:rsidRPr="00280290" w:rsidRDefault="006C1607" w:rsidP="00E34C76">
      <w:pPr>
        <w:pStyle w:val="FootnoteText"/>
      </w:pPr>
      <w:r w:rsidRPr="00280290">
        <w:rPr>
          <w:rStyle w:val="FootnoteReference"/>
        </w:rPr>
        <w:footnoteRef/>
      </w:r>
      <w:r>
        <w:rPr>
          <w:lang w:val="en-US"/>
        </w:rPr>
        <w:t xml:space="preserve"> </w:t>
      </w:r>
      <w:proofErr w:type="gramStart"/>
      <w:r w:rsidRPr="00280290">
        <w:rPr>
          <w:lang w:val="en-US"/>
        </w:rPr>
        <w:t>S</w:t>
      </w:r>
      <w:r w:rsidRPr="00280290">
        <w:t>9(</w:t>
      </w:r>
      <w:proofErr w:type="gramEnd"/>
      <w:r w:rsidRPr="00280290">
        <w:t>4)Child and Family Agency Act 2013.</w:t>
      </w:r>
    </w:p>
  </w:footnote>
  <w:footnote w:id="38">
    <w:p w14:paraId="67E4B8F0" w14:textId="77777777" w:rsidR="006C1607" w:rsidRPr="00280290" w:rsidRDefault="006C1607" w:rsidP="00E34C76">
      <w:pPr>
        <w:pStyle w:val="FootnoteText"/>
      </w:pPr>
      <w:r w:rsidRPr="00280290">
        <w:rPr>
          <w:rStyle w:val="FootnoteReference"/>
        </w:rPr>
        <w:footnoteRef/>
      </w:r>
      <w:r>
        <w:t xml:space="preserve"> </w:t>
      </w:r>
      <w:r w:rsidRPr="00280290">
        <w:t>Interview with representative from a Child Advocacy organisation by Jenni Kline on 1 April 2014.</w:t>
      </w:r>
    </w:p>
  </w:footnote>
  <w:footnote w:id="39">
    <w:p w14:paraId="4C97CC8B" w14:textId="77777777" w:rsidR="006C1607" w:rsidRPr="00280290" w:rsidRDefault="006C1607">
      <w:pPr>
        <w:pStyle w:val="FootnoteText"/>
      </w:pPr>
      <w:r w:rsidRPr="00280290">
        <w:rPr>
          <w:rStyle w:val="FootnoteReference"/>
        </w:rPr>
        <w:footnoteRef/>
      </w:r>
      <w:r w:rsidRPr="00280290">
        <w:t xml:space="preserve"> </w:t>
      </w:r>
      <w:proofErr w:type="gramStart"/>
      <w:r w:rsidRPr="00280290">
        <w:t>Mary E. Daly, ‘Th</w:t>
      </w:r>
      <w:r>
        <w:t>e Primary and Natural Educator’</w:t>
      </w:r>
      <w:r w:rsidRPr="00280290">
        <w:t>?</w:t>
      </w:r>
      <w:proofErr w:type="gramEnd"/>
      <w:r w:rsidRPr="00280290">
        <w:t xml:space="preserve"> </w:t>
      </w:r>
      <w:proofErr w:type="gramStart"/>
      <w:r w:rsidRPr="00280290">
        <w:t xml:space="preserve">The Role of Parents in the Education of Their Children in Independent Ireland’ 44 </w:t>
      </w:r>
      <w:r w:rsidRPr="00280290">
        <w:rPr>
          <w:i/>
        </w:rPr>
        <w:t xml:space="preserve">Eire Ireland </w:t>
      </w:r>
      <w:r w:rsidRPr="00280290">
        <w:t>1/2(Spring/Summer 2009) 195.</w:t>
      </w:r>
      <w:proofErr w:type="gramEnd"/>
    </w:p>
  </w:footnote>
  <w:footnote w:id="40">
    <w:p w14:paraId="768EC5E9" w14:textId="77777777" w:rsidR="006C1607" w:rsidRPr="00280290" w:rsidRDefault="006C1607">
      <w:pPr>
        <w:pStyle w:val="FootnoteText"/>
      </w:pPr>
      <w:r w:rsidRPr="00280290">
        <w:rPr>
          <w:rStyle w:val="FootnoteReference"/>
        </w:rPr>
        <w:footnoteRef/>
      </w:r>
      <w:r w:rsidRPr="00280290">
        <w:t xml:space="preserve"> </w:t>
      </w:r>
      <w:proofErr w:type="gramStart"/>
      <w:r w:rsidRPr="00280290">
        <w:t>Mary E. Daly, ‘Th</w:t>
      </w:r>
      <w:r>
        <w:t>e Primary and Natural Educator’</w:t>
      </w:r>
      <w:r w:rsidRPr="00280290">
        <w:t>?</w:t>
      </w:r>
      <w:proofErr w:type="gramEnd"/>
      <w:r w:rsidRPr="00280290">
        <w:t xml:space="preserve"> </w:t>
      </w:r>
      <w:proofErr w:type="gramStart"/>
      <w:r w:rsidRPr="00280290">
        <w:t xml:space="preserve">The Role of Parents in the Education of Their Children in Independent Ireland’ 44 </w:t>
      </w:r>
      <w:r w:rsidRPr="00280290">
        <w:rPr>
          <w:i/>
        </w:rPr>
        <w:t xml:space="preserve">Eire Ireland </w:t>
      </w:r>
      <w:r w:rsidRPr="00280290">
        <w:t xml:space="preserve">1/2(Spring/Summer 2009) 195; John Sweeney, ‘Attitudes of Catholic religious orders towards children and adults with an intellectual disability in postcolonial Ireland’ 17 </w:t>
      </w:r>
      <w:r w:rsidRPr="00280290">
        <w:rPr>
          <w:i/>
        </w:rPr>
        <w:t>Nursing Inquiry</w:t>
      </w:r>
      <w:r w:rsidRPr="00280290">
        <w:t xml:space="preserve"> (2010).</w:t>
      </w:r>
      <w:proofErr w:type="gramEnd"/>
    </w:p>
  </w:footnote>
  <w:footnote w:id="41">
    <w:p w14:paraId="5E4B7E8B" w14:textId="77777777" w:rsidR="006C1607" w:rsidRPr="00280290" w:rsidRDefault="006C1607">
      <w:pPr>
        <w:pStyle w:val="FootnoteText"/>
      </w:pPr>
      <w:r w:rsidRPr="00280290">
        <w:rPr>
          <w:rStyle w:val="FootnoteReference"/>
        </w:rPr>
        <w:footnoteRef/>
      </w:r>
      <w:r>
        <w:t xml:space="preserve"> </w:t>
      </w:r>
      <w:proofErr w:type="gramStart"/>
      <w:r>
        <w:t>Mary E. Daly, ‘The Primary and Natural Educator’</w:t>
      </w:r>
      <w:r w:rsidRPr="00280290">
        <w:t>?</w:t>
      </w:r>
      <w:proofErr w:type="gramEnd"/>
      <w:r w:rsidRPr="00280290">
        <w:t xml:space="preserve"> </w:t>
      </w:r>
      <w:proofErr w:type="gramStart"/>
      <w:r w:rsidRPr="00280290">
        <w:t xml:space="preserve">The Role of Parents in the Education of Their Children in Independent Ireland’ 44 </w:t>
      </w:r>
      <w:r w:rsidRPr="00280290">
        <w:rPr>
          <w:i/>
        </w:rPr>
        <w:t xml:space="preserve">Eire Ireland </w:t>
      </w:r>
      <w:r w:rsidRPr="00280290">
        <w:t>1/2(Spring/Summer 2009) 212-215.</w:t>
      </w:r>
      <w:proofErr w:type="gramEnd"/>
    </w:p>
  </w:footnote>
  <w:footnote w:id="42">
    <w:p w14:paraId="114280ED" w14:textId="77777777" w:rsidR="006C1607" w:rsidRPr="00280290" w:rsidRDefault="006C1607">
      <w:pPr>
        <w:pStyle w:val="FootnoteText"/>
      </w:pPr>
      <w:r w:rsidRPr="00280290">
        <w:rPr>
          <w:rStyle w:val="FootnoteReference"/>
        </w:rPr>
        <w:footnoteRef/>
      </w:r>
      <w:r>
        <w:t xml:space="preserve"> </w:t>
      </w:r>
      <w:proofErr w:type="gramStart"/>
      <w:r w:rsidRPr="00280290">
        <w:t>Education Act of 1998.</w:t>
      </w:r>
      <w:r w:rsidRPr="002E0C25">
        <w:t>Available at</w:t>
      </w:r>
      <w:r>
        <w:t>&lt;</w:t>
      </w:r>
      <w:r w:rsidRPr="002E0C25">
        <w:t>http://www.irishstatutebook.ie/1998/en/act/pub/0051/</w:t>
      </w:r>
      <w:r w:rsidRPr="00280290">
        <w:t>&gt; (last accessed 6 April 2015).</w:t>
      </w:r>
      <w:proofErr w:type="gramEnd"/>
    </w:p>
  </w:footnote>
  <w:footnote w:id="43">
    <w:p w14:paraId="3F58C330" w14:textId="77777777" w:rsidR="006C1607" w:rsidRPr="00280290" w:rsidRDefault="006C1607">
      <w:pPr>
        <w:pStyle w:val="FootnoteText"/>
      </w:pPr>
      <w:r w:rsidRPr="00280290">
        <w:rPr>
          <w:rStyle w:val="FootnoteReference"/>
        </w:rPr>
        <w:footnoteRef/>
      </w:r>
      <w:r>
        <w:t xml:space="preserve"> </w:t>
      </w:r>
      <w:proofErr w:type="gramStart"/>
      <w:r w:rsidRPr="002E0C25">
        <w:t xml:space="preserve">Sinnott v. Minister for Education </w:t>
      </w:r>
      <w:r w:rsidRPr="00280290">
        <w:t>[2001] 2 IR 545.</w:t>
      </w:r>
      <w:proofErr w:type="gramEnd"/>
      <w:r>
        <w:t xml:space="preserve"> </w:t>
      </w:r>
      <w:proofErr w:type="gramStart"/>
      <w:r w:rsidRPr="002E0C25">
        <w:t>Available at</w:t>
      </w:r>
      <w:r>
        <w:t xml:space="preserve"> </w:t>
      </w:r>
      <w:r w:rsidRPr="00280290">
        <w:t>&lt;</w:t>
      </w:r>
      <w:r w:rsidRPr="002E0C25">
        <w:t>http://www.bailii.org/ie/cases/IESC/2001/63.html</w:t>
      </w:r>
      <w:r w:rsidRPr="00280290">
        <w:t>&gt; (last accessed 6 April 2015).</w:t>
      </w:r>
      <w:proofErr w:type="gramEnd"/>
    </w:p>
  </w:footnote>
  <w:footnote w:id="44">
    <w:p w14:paraId="4B44E007" w14:textId="77777777" w:rsidR="006C1607" w:rsidRPr="00280290" w:rsidRDefault="006C1607">
      <w:pPr>
        <w:pStyle w:val="FootnoteText"/>
        <w:rPr>
          <w:lang w:val="en-US"/>
        </w:rPr>
      </w:pPr>
      <w:r w:rsidRPr="00280290">
        <w:rPr>
          <w:rStyle w:val="FootnoteReference"/>
        </w:rPr>
        <w:footnoteRef/>
      </w:r>
      <w:r>
        <w:t xml:space="preserve"> Shivaun Quinlivan and Mary Keys, ‘</w:t>
      </w:r>
      <w:r w:rsidRPr="00280290">
        <w:rPr>
          <w:rFonts w:cs="Arial"/>
          <w:bCs/>
          <w:lang w:val="en-US"/>
        </w:rPr>
        <w:t>Official Indifference and Persistent Procrasti</w:t>
      </w:r>
      <w:r>
        <w:rPr>
          <w:rFonts w:cs="Arial"/>
          <w:bCs/>
          <w:lang w:val="en-US"/>
        </w:rPr>
        <w:t xml:space="preserve">nation: An Analysis of Sinnott’ </w:t>
      </w:r>
      <w:r w:rsidRPr="00280290">
        <w:rPr>
          <w:rFonts w:cs="Arial"/>
          <w:bCs/>
          <w:i/>
          <w:lang w:val="en-US"/>
        </w:rPr>
        <w:t xml:space="preserve">Judicial Studies Institute Journal </w:t>
      </w:r>
      <w:r w:rsidRPr="00280290">
        <w:rPr>
          <w:rFonts w:cs="Arial"/>
          <w:lang w:val="en-US"/>
        </w:rPr>
        <w:t>2(2) JSIJ (2002) 163.</w:t>
      </w:r>
    </w:p>
  </w:footnote>
  <w:footnote w:id="45">
    <w:p w14:paraId="2C535359" w14:textId="77777777" w:rsidR="006C1607" w:rsidRPr="00280290" w:rsidRDefault="006C1607" w:rsidP="006F1A78">
      <w:pPr>
        <w:pStyle w:val="FootnoteText"/>
      </w:pPr>
      <w:r w:rsidRPr="00280290">
        <w:rPr>
          <w:rStyle w:val="FootnoteReference"/>
        </w:rPr>
        <w:footnoteRef/>
      </w:r>
      <w:r>
        <w:t xml:space="preserve"> </w:t>
      </w:r>
      <w:proofErr w:type="gramStart"/>
      <w:r w:rsidRPr="00280290">
        <w:t>S4, S5 Education for Persons with Special Educational Needs Act (2004).</w:t>
      </w:r>
      <w:proofErr w:type="gramEnd"/>
      <w:r w:rsidRPr="00280290">
        <w:t xml:space="preserve"> </w:t>
      </w:r>
      <w:proofErr w:type="gramStart"/>
      <w:r w:rsidRPr="00411263">
        <w:t>Available at &lt;http://www.irishstatutebook.ie/2004/en/act/pub/0030/print.html&gt;</w:t>
      </w:r>
      <w:r w:rsidRPr="00280290">
        <w:t xml:space="preserve"> (last accessed 6 April 2015).</w:t>
      </w:r>
      <w:proofErr w:type="gramEnd"/>
    </w:p>
  </w:footnote>
  <w:footnote w:id="46">
    <w:p w14:paraId="13B138E7" w14:textId="77777777" w:rsidR="006C1607" w:rsidRPr="00280290" w:rsidRDefault="006C1607" w:rsidP="00205BA6">
      <w:pPr>
        <w:pStyle w:val="FootnoteText"/>
      </w:pPr>
      <w:r w:rsidRPr="00280290">
        <w:rPr>
          <w:rStyle w:val="FootnoteReference"/>
        </w:rPr>
        <w:footnoteRef/>
      </w:r>
      <w:r>
        <w:rPr>
          <w:lang w:val="en-US"/>
        </w:rPr>
        <w:t xml:space="preserve"> </w:t>
      </w:r>
      <w:proofErr w:type="gramStart"/>
      <w:r w:rsidRPr="00280290">
        <w:rPr>
          <w:lang w:val="en-US"/>
        </w:rPr>
        <w:t>S</w:t>
      </w:r>
      <w:r w:rsidRPr="00280290">
        <w:t>2 Education for Persons with Special Educational Needs Act (2004).</w:t>
      </w:r>
      <w:proofErr w:type="gramEnd"/>
      <w:r w:rsidRPr="00280290">
        <w:t xml:space="preserve"> </w:t>
      </w:r>
      <w:proofErr w:type="gramStart"/>
      <w:r w:rsidRPr="00411263">
        <w:t>Available at &lt;http://www.irishstatutebook.ie/2004/en/act/pub/0030/print.html&gt; (last accessed 6 April 2015).</w:t>
      </w:r>
      <w:proofErr w:type="gramEnd"/>
    </w:p>
  </w:footnote>
  <w:footnote w:id="47">
    <w:p w14:paraId="10E0B8E8" w14:textId="77777777" w:rsidR="006C1607" w:rsidRPr="00280290" w:rsidRDefault="006C1607" w:rsidP="00205BA6">
      <w:pPr>
        <w:rPr>
          <w:rFonts w:asciiTheme="minorHAnsi" w:hAnsiTheme="minorHAnsi"/>
          <w:sz w:val="20"/>
          <w:szCs w:val="20"/>
        </w:rPr>
      </w:pPr>
      <w:r w:rsidRPr="00280290">
        <w:rPr>
          <w:rStyle w:val="FootnoteReference"/>
          <w:rFonts w:asciiTheme="minorHAnsi" w:hAnsiTheme="minorHAnsi"/>
          <w:sz w:val="20"/>
          <w:szCs w:val="20"/>
        </w:rPr>
        <w:footnoteRef/>
      </w:r>
      <w:r>
        <w:rPr>
          <w:rFonts w:asciiTheme="minorHAnsi" w:hAnsiTheme="minorHAnsi"/>
          <w:sz w:val="20"/>
          <w:szCs w:val="20"/>
        </w:rPr>
        <w:t xml:space="preserve"> </w:t>
      </w:r>
      <w:r w:rsidRPr="00280290">
        <w:rPr>
          <w:rFonts w:asciiTheme="minorHAnsi" w:hAnsiTheme="minorHAnsi"/>
          <w:sz w:val="20"/>
          <w:szCs w:val="20"/>
        </w:rPr>
        <w:t>Written answers to Dáil Questions, 4 November 2008 for questions [38212/08 and 38016/08].</w:t>
      </w:r>
    </w:p>
    <w:p w14:paraId="18225E98" w14:textId="77777777" w:rsidR="006C1607" w:rsidRPr="00280290" w:rsidRDefault="006C1607" w:rsidP="00B06C29">
      <w:pPr>
        <w:rPr>
          <w:rFonts w:asciiTheme="minorHAnsi" w:hAnsiTheme="minorHAnsi"/>
          <w:sz w:val="20"/>
          <w:szCs w:val="20"/>
        </w:rPr>
      </w:pPr>
      <w:r w:rsidRPr="00280290">
        <w:rPr>
          <w:rFonts w:asciiTheme="minorHAnsi" w:hAnsiTheme="minorHAnsi"/>
          <w:sz w:val="20"/>
          <w:szCs w:val="20"/>
        </w:rPr>
        <w:t>Available at &lt;http://www.kildarestreet.com/wrans/</w:t>
      </w:r>
      <w:proofErr w:type="gramStart"/>
      <w:r w:rsidRPr="00280290">
        <w:rPr>
          <w:rFonts w:asciiTheme="minorHAnsi" w:hAnsiTheme="minorHAnsi"/>
          <w:sz w:val="20"/>
          <w:szCs w:val="20"/>
        </w:rPr>
        <w:t>?id</w:t>
      </w:r>
      <w:proofErr w:type="gramEnd"/>
      <w:r w:rsidRPr="00280290">
        <w:rPr>
          <w:rFonts w:asciiTheme="minorHAnsi" w:hAnsiTheme="minorHAnsi"/>
          <w:sz w:val="20"/>
          <w:szCs w:val="20"/>
        </w:rPr>
        <w:t>=2008-11-04.506.0&gt; (last accessed 10 April 2015).</w:t>
      </w:r>
    </w:p>
  </w:footnote>
  <w:footnote w:id="48">
    <w:p w14:paraId="7993BD8A" w14:textId="77777777" w:rsidR="006C1607" w:rsidRPr="00280290" w:rsidRDefault="006C1607">
      <w:pPr>
        <w:pStyle w:val="FootnoteText"/>
      </w:pPr>
      <w:r w:rsidRPr="00280290">
        <w:rPr>
          <w:rStyle w:val="FootnoteReference"/>
        </w:rPr>
        <w:footnoteRef/>
      </w:r>
      <w:r>
        <w:rPr>
          <w:lang w:val="en-US"/>
        </w:rPr>
        <w:t xml:space="preserve"> </w:t>
      </w:r>
      <w:r w:rsidRPr="00280290">
        <w:rPr>
          <w:lang w:val="en-US"/>
        </w:rPr>
        <w:t>S</w:t>
      </w:r>
      <w:r w:rsidRPr="00280290">
        <w:t xml:space="preserve">20 EPSEN Act (2004). </w:t>
      </w:r>
      <w:proofErr w:type="gramStart"/>
      <w:r w:rsidRPr="00411263">
        <w:t xml:space="preserve">Available at </w:t>
      </w:r>
      <w:r>
        <w:t xml:space="preserve"> </w:t>
      </w:r>
      <w:r w:rsidRPr="00411263">
        <w:t>&lt;http://www.irishstatutebook.ie/2004/en/act/pub/0030/print.html&gt;</w:t>
      </w:r>
      <w:r w:rsidRPr="00280290">
        <w:t xml:space="preserve"> (last accessed 6 April 2015).</w:t>
      </w:r>
      <w:proofErr w:type="gramEnd"/>
    </w:p>
  </w:footnote>
  <w:footnote w:id="49">
    <w:p w14:paraId="33DB4C8C" w14:textId="77777777" w:rsidR="006C1607" w:rsidRPr="00280290" w:rsidRDefault="006C1607">
      <w:pPr>
        <w:pStyle w:val="FootnoteText"/>
      </w:pPr>
      <w:r w:rsidRPr="00280290">
        <w:rPr>
          <w:rStyle w:val="FootnoteReference"/>
        </w:rPr>
        <w:footnoteRef/>
      </w:r>
      <w:r>
        <w:t xml:space="preserve"> S</w:t>
      </w:r>
      <w:r w:rsidRPr="00280290">
        <w:t>36 EPSEN Act (2004</w:t>
      </w:r>
      <w:r w:rsidRPr="00411263">
        <w:t xml:space="preserve">). </w:t>
      </w:r>
      <w:proofErr w:type="gramStart"/>
      <w:r w:rsidRPr="00411263">
        <w:t xml:space="preserve">Available at </w:t>
      </w:r>
      <w:r>
        <w:t xml:space="preserve"> </w:t>
      </w:r>
      <w:r w:rsidRPr="00411263">
        <w:t>&lt;http://www.irishstatutebook.ie/2004/en/act/pub/0030/print.html&gt;</w:t>
      </w:r>
      <w:r w:rsidRPr="00280290">
        <w:t xml:space="preserve"> (last accessed 6 April 2015).</w:t>
      </w:r>
      <w:proofErr w:type="gramEnd"/>
    </w:p>
  </w:footnote>
  <w:footnote w:id="50">
    <w:p w14:paraId="7F14629C" w14:textId="77777777" w:rsidR="006C1607" w:rsidRPr="00280290" w:rsidRDefault="006C1607">
      <w:pPr>
        <w:pStyle w:val="FootnoteText"/>
      </w:pPr>
      <w:r w:rsidRPr="00280290">
        <w:rPr>
          <w:rStyle w:val="FootnoteReference"/>
        </w:rPr>
        <w:footnoteRef/>
      </w:r>
      <w:r>
        <w:t xml:space="preserve"> </w:t>
      </w:r>
      <w:r w:rsidRPr="00280290">
        <w:t>Inclusion Ireland, Implementing the National Disability Strategy, Inclusion Ireland Position Paper (January 2013)</w:t>
      </w:r>
      <w:proofErr w:type="gramStart"/>
      <w:r w:rsidRPr="00280290">
        <w:t>.</w:t>
      </w:r>
      <w:r w:rsidRPr="0013052A">
        <w:t>Available</w:t>
      </w:r>
      <w:proofErr w:type="gramEnd"/>
      <w:r w:rsidRPr="0013052A">
        <w:t xml:space="preserve"> at</w:t>
      </w:r>
      <w:r>
        <w:t xml:space="preserve"> </w:t>
      </w:r>
      <w:r w:rsidRPr="00280290">
        <w:t>&lt;http://www.inclusionireland.ie/sites/default/files/documents/position_paper_on_implementing_the_nds_.pdf&gt; (last accessed 7 April 2015).</w:t>
      </w:r>
    </w:p>
  </w:footnote>
  <w:footnote w:id="51">
    <w:p w14:paraId="4C17ED03" w14:textId="77777777" w:rsidR="006C1607" w:rsidRPr="00280290" w:rsidRDefault="006C1607" w:rsidP="00205BA6">
      <w:pPr>
        <w:pStyle w:val="FootnoteText"/>
      </w:pPr>
      <w:r w:rsidRPr="00280290">
        <w:rPr>
          <w:rStyle w:val="FootnoteReference"/>
        </w:rPr>
        <w:footnoteRef/>
      </w:r>
      <w:r>
        <w:t xml:space="preserve"> </w:t>
      </w:r>
      <w:r w:rsidRPr="00280290">
        <w:t>Interview with Child Rights Expert conducted by Eilionoir Flynn and Jenni Kline on 24 January 2014.</w:t>
      </w:r>
    </w:p>
  </w:footnote>
  <w:footnote w:id="52">
    <w:p w14:paraId="4CEC6D1F" w14:textId="77777777" w:rsidR="006C1607" w:rsidRPr="00280290" w:rsidRDefault="006C1607" w:rsidP="00F5694A">
      <w:pPr>
        <w:pStyle w:val="FootnoteText"/>
      </w:pPr>
      <w:r w:rsidRPr="00280290">
        <w:rPr>
          <w:rStyle w:val="FootnoteReference"/>
        </w:rPr>
        <w:footnoteRef/>
      </w:r>
      <w:r>
        <w:t xml:space="preserve"> </w:t>
      </w:r>
      <w:r w:rsidRPr="00280290">
        <w:t>Interview with Parent 2 conducted by Jenni Kline on 27 February 2014.</w:t>
      </w:r>
    </w:p>
  </w:footnote>
  <w:footnote w:id="53">
    <w:p w14:paraId="252320B8" w14:textId="77777777" w:rsidR="006C1607" w:rsidRPr="00280290" w:rsidRDefault="006C1607">
      <w:pPr>
        <w:pStyle w:val="FootnoteText"/>
      </w:pPr>
      <w:r w:rsidRPr="00280290">
        <w:rPr>
          <w:rStyle w:val="FootnoteReference"/>
        </w:rPr>
        <w:footnoteRef/>
      </w:r>
      <w:r w:rsidRPr="00280290">
        <w:t xml:space="preserve"> Interview with Parent 5 conducted by Jenni Kline on 28 March 2014 and Interview with Parent 4 conducted by Jenni Kline on 25 March 2014.</w:t>
      </w:r>
    </w:p>
  </w:footnote>
  <w:footnote w:id="54">
    <w:p w14:paraId="4FAB003E" w14:textId="77777777" w:rsidR="006C1607" w:rsidRPr="00280290" w:rsidRDefault="006C1607">
      <w:pPr>
        <w:pStyle w:val="FootnoteText"/>
        <w:rPr>
          <w:u w:val="single"/>
        </w:rPr>
      </w:pPr>
      <w:r w:rsidRPr="00280290">
        <w:rPr>
          <w:rStyle w:val="FootnoteReference"/>
        </w:rPr>
        <w:footnoteRef/>
      </w:r>
      <w:r w:rsidRPr="00280290">
        <w:t xml:space="preserve"> Interview with Paren</w:t>
      </w:r>
      <w:r>
        <w:t>t 4 conducted by Jenni Kline on</w:t>
      </w:r>
      <w:r w:rsidRPr="00280290">
        <w:t xml:space="preserve"> 25 March 2014.</w:t>
      </w:r>
    </w:p>
  </w:footnote>
  <w:footnote w:id="55">
    <w:p w14:paraId="6E353CB6" w14:textId="77777777" w:rsidR="006C1607" w:rsidRPr="00280290" w:rsidRDefault="006C1607">
      <w:pPr>
        <w:pStyle w:val="FootnoteText"/>
      </w:pPr>
      <w:r w:rsidRPr="00280290">
        <w:rPr>
          <w:rStyle w:val="FootnoteReference"/>
        </w:rPr>
        <w:footnoteRef/>
      </w:r>
      <w:r w:rsidRPr="00280290">
        <w:t xml:space="preserve"> Interview with Parent 2 conducted by Jenni Kline 27 February </w:t>
      </w:r>
      <w:proofErr w:type="gramStart"/>
      <w:r w:rsidRPr="00280290">
        <w:t>2015 :</w:t>
      </w:r>
      <w:proofErr w:type="gramEnd"/>
      <w:r w:rsidRPr="00280290">
        <w:t xml:space="preserve"> Interview with Parent 4 conducted by Jenni Kline on 25 March 2014 : Interview with Parent 5 conducted 28 March 2014.</w:t>
      </w:r>
    </w:p>
  </w:footnote>
  <w:footnote w:id="56">
    <w:p w14:paraId="0B670B6E" w14:textId="77777777" w:rsidR="006C1607" w:rsidRPr="00280290" w:rsidRDefault="006C1607">
      <w:pPr>
        <w:pStyle w:val="FootnoteText"/>
      </w:pPr>
      <w:r w:rsidRPr="00280290">
        <w:rPr>
          <w:rStyle w:val="FootnoteReference"/>
        </w:rPr>
        <w:footnoteRef/>
      </w:r>
      <w:r w:rsidRPr="00280290">
        <w:t xml:space="preserve"> Interview with Parent 1 conducted by Jenni Kline 26 February 2014: Interview with Parent 2 conducted by Jenni Kline 27 February 2014: Interview with Parent 5 conducted by Jenni 28 March 2014. </w:t>
      </w:r>
    </w:p>
  </w:footnote>
  <w:footnote w:id="57">
    <w:p w14:paraId="0B2E3170" w14:textId="77777777" w:rsidR="006C1607" w:rsidRPr="00280290" w:rsidRDefault="006C1607">
      <w:pPr>
        <w:pStyle w:val="FootnoteText"/>
      </w:pPr>
      <w:r w:rsidRPr="00280290">
        <w:rPr>
          <w:rStyle w:val="FootnoteReference"/>
        </w:rPr>
        <w:footnoteRef/>
      </w:r>
      <w:r w:rsidRPr="00280290">
        <w:t xml:space="preserve"> National Council for Special Education, </w:t>
      </w:r>
      <w:r w:rsidRPr="00280290">
        <w:rPr>
          <w:i/>
        </w:rPr>
        <w:t xml:space="preserve">Supporting Students with Special Educational Needs in Schools, </w:t>
      </w:r>
      <w:r w:rsidRPr="00280290">
        <w:t xml:space="preserve">NCSE Policy Advice Paper No. 4 (May 2013) 24. </w:t>
      </w:r>
      <w:proofErr w:type="gramStart"/>
      <w:r w:rsidRPr="0013052A">
        <w:t>Available at &lt;</w:t>
      </w:r>
      <w:r w:rsidRPr="00BC42B2">
        <w:t>http://ncse.ie/wp-content/uploads/2014/09/Supporting_14_05_13_web.pdf&gt; (last</w:t>
      </w:r>
      <w:r w:rsidRPr="00280290">
        <w:t xml:space="preserve"> accessed 10 April 2015).</w:t>
      </w:r>
      <w:proofErr w:type="gramEnd"/>
    </w:p>
  </w:footnote>
  <w:footnote w:id="58">
    <w:p w14:paraId="062B4B31" w14:textId="77777777" w:rsidR="006C1607" w:rsidRPr="00280290" w:rsidRDefault="006C1607">
      <w:pPr>
        <w:pStyle w:val="FootnoteText"/>
      </w:pPr>
      <w:r w:rsidRPr="00280290">
        <w:rPr>
          <w:rStyle w:val="FootnoteReference"/>
        </w:rPr>
        <w:footnoteRef/>
      </w:r>
      <w:r w:rsidRPr="00280290">
        <w:t xml:space="preserve"> Interview with Parent 2 conducted by Jenni Kline on 27 February 2014: Interview with Parent </w:t>
      </w:r>
      <w:proofErr w:type="gramStart"/>
      <w:r w:rsidRPr="00280290">
        <w:t>5  conducted</w:t>
      </w:r>
      <w:proofErr w:type="gramEnd"/>
      <w:r w:rsidRPr="00280290">
        <w:t xml:space="preserve"> by Jenni Kline on 28 March 2014.</w:t>
      </w:r>
    </w:p>
  </w:footnote>
  <w:footnote w:id="59">
    <w:p w14:paraId="45F03E70" w14:textId="77777777" w:rsidR="006C1607" w:rsidRPr="00280290" w:rsidRDefault="006C1607">
      <w:pPr>
        <w:pStyle w:val="FootnoteText"/>
      </w:pPr>
      <w:r w:rsidRPr="00280290">
        <w:rPr>
          <w:rStyle w:val="FootnoteReference"/>
        </w:rPr>
        <w:footnoteRef/>
      </w:r>
      <w:r w:rsidRPr="00280290">
        <w:t xml:space="preserve"> Interview with Parent 2 conducted by Jenni Kline on 27 February 2014. </w:t>
      </w:r>
    </w:p>
  </w:footnote>
  <w:footnote w:id="60">
    <w:p w14:paraId="2C982BE6" w14:textId="77777777" w:rsidR="006C1607" w:rsidRPr="00280290" w:rsidRDefault="006C1607">
      <w:pPr>
        <w:pStyle w:val="FootnoteText"/>
      </w:pPr>
      <w:r w:rsidRPr="00280290">
        <w:rPr>
          <w:rStyle w:val="FootnoteReference"/>
        </w:rPr>
        <w:footnoteRef/>
      </w:r>
      <w:r w:rsidRPr="00280290">
        <w:t xml:space="preserve"> Mark O’Connor, </w:t>
      </w:r>
      <w:r w:rsidRPr="00280290">
        <w:rPr>
          <w:i/>
        </w:rPr>
        <w:t>Presentation to the Joint Committee on Education and Social Protection</w:t>
      </w:r>
      <w:r w:rsidRPr="00280290">
        <w:t xml:space="preserve"> (11 December 2013). </w:t>
      </w:r>
      <w:proofErr w:type="gramStart"/>
      <w:r w:rsidRPr="00BC42B2">
        <w:t>Available at</w:t>
      </w:r>
      <w:r>
        <w:t>&lt;</w:t>
      </w:r>
      <w:r w:rsidRPr="00BC42B2">
        <w:t>http://www.autismireland.ie/news-events/news/1126/</w:t>
      </w:r>
      <w:r w:rsidRPr="00280290">
        <w:t>&gt; (last accessed 10 April 2015).</w:t>
      </w:r>
      <w:proofErr w:type="gramEnd"/>
    </w:p>
  </w:footnote>
  <w:footnote w:id="61">
    <w:p w14:paraId="64D8EEE5" w14:textId="77777777" w:rsidR="006C1607" w:rsidRPr="00280290" w:rsidRDefault="006C1607">
      <w:pPr>
        <w:pStyle w:val="FootnoteText"/>
      </w:pPr>
      <w:r w:rsidRPr="00280290">
        <w:rPr>
          <w:rStyle w:val="FootnoteReference"/>
        </w:rPr>
        <w:footnoteRef/>
      </w:r>
      <w:r w:rsidRPr="00280290">
        <w:t xml:space="preserve"> National Council for Special Education, </w:t>
      </w:r>
      <w:r w:rsidRPr="00280290">
        <w:rPr>
          <w:i/>
        </w:rPr>
        <w:t xml:space="preserve">Supporting Students with Special Educational Needs in Schools, </w:t>
      </w:r>
      <w:r w:rsidRPr="00280290">
        <w:t xml:space="preserve">NCSE Policy Advice Paper No. 4 (May 2013) 24. </w:t>
      </w:r>
      <w:proofErr w:type="gramStart"/>
      <w:r w:rsidRPr="00BC42B2">
        <w:t>Available at &lt;http://ncse.ie/wp-content/uploads/2014/09/Supporting_14_05_13_web.pdf&gt; (last</w:t>
      </w:r>
      <w:r w:rsidRPr="00280290">
        <w:t xml:space="preserve"> accessed 10 April 2015).</w:t>
      </w:r>
      <w:proofErr w:type="gramEnd"/>
    </w:p>
  </w:footnote>
  <w:footnote w:id="62">
    <w:p w14:paraId="7151A6F2" w14:textId="77777777" w:rsidR="006C1607" w:rsidRPr="00280290" w:rsidRDefault="006C1607" w:rsidP="003A6ED1">
      <w:pPr>
        <w:pStyle w:val="FootnoteText"/>
      </w:pPr>
      <w:r w:rsidRPr="00280290">
        <w:rPr>
          <w:rStyle w:val="FootnoteReference"/>
        </w:rPr>
        <w:footnoteRef/>
      </w:r>
      <w:r>
        <w:t xml:space="preserve"> </w:t>
      </w:r>
      <w:proofErr w:type="gramStart"/>
      <w:r>
        <w:t>Disability Appeals Office</w:t>
      </w:r>
      <w:r w:rsidRPr="00280290">
        <w:t xml:space="preserve">, </w:t>
      </w:r>
      <w:r w:rsidRPr="00280290">
        <w:rPr>
          <w:i/>
        </w:rPr>
        <w:t>2010 Annual Report of the Disability Appeals Officer</w:t>
      </w:r>
      <w:r w:rsidRPr="00280290">
        <w:t xml:space="preserve"> (June 2011).</w:t>
      </w:r>
      <w:proofErr w:type="gramEnd"/>
    </w:p>
  </w:footnote>
  <w:footnote w:id="63">
    <w:p w14:paraId="647E975C" w14:textId="77777777" w:rsidR="006C1607" w:rsidRPr="00280290" w:rsidRDefault="006C1607">
      <w:pPr>
        <w:pStyle w:val="FootnoteText"/>
      </w:pPr>
      <w:r w:rsidRPr="00280290">
        <w:rPr>
          <w:rStyle w:val="FootnoteReference"/>
        </w:rPr>
        <w:footnoteRef/>
      </w:r>
      <w:r w:rsidRPr="00280290">
        <w:t xml:space="preserve"> Interview with Parent 1 conducted by Jenni Kline 26 February 2014.</w:t>
      </w:r>
    </w:p>
  </w:footnote>
  <w:footnote w:id="64">
    <w:p w14:paraId="67819197" w14:textId="77777777" w:rsidR="006C1607" w:rsidRPr="00280290" w:rsidRDefault="006C1607">
      <w:pPr>
        <w:pStyle w:val="FootnoteText"/>
      </w:pPr>
      <w:r w:rsidRPr="00280290">
        <w:rPr>
          <w:rStyle w:val="FootnoteReference"/>
        </w:rPr>
        <w:footnoteRef/>
      </w:r>
      <w:r w:rsidRPr="00280290">
        <w:t xml:space="preserve"> Interview with Parent 2 conducted by Jenni Kline 27 February 2014.</w:t>
      </w:r>
    </w:p>
  </w:footnote>
  <w:footnote w:id="65">
    <w:p w14:paraId="70BB40A5" w14:textId="77777777" w:rsidR="006C1607" w:rsidRPr="00280290" w:rsidRDefault="006C1607">
      <w:pPr>
        <w:pStyle w:val="FootnoteText"/>
      </w:pPr>
      <w:r w:rsidRPr="00280290">
        <w:rPr>
          <w:rStyle w:val="FootnoteReference"/>
        </w:rPr>
        <w:footnoteRef/>
      </w:r>
      <w:r w:rsidRPr="00280290">
        <w:t xml:space="preserve"> Interview with Parent 1 conducted by Jenni Kline 26 February 2014.</w:t>
      </w:r>
    </w:p>
  </w:footnote>
  <w:footnote w:id="66">
    <w:p w14:paraId="5AABDE45" w14:textId="77777777" w:rsidR="006C1607" w:rsidRPr="00280290" w:rsidRDefault="006C1607">
      <w:pPr>
        <w:pStyle w:val="FootnoteText"/>
      </w:pPr>
      <w:r w:rsidRPr="00280290">
        <w:rPr>
          <w:rStyle w:val="FootnoteReference"/>
        </w:rPr>
        <w:footnoteRef/>
      </w:r>
      <w:r w:rsidRPr="00280290">
        <w:t xml:space="preserve"> Interview with Parent 5 conducted by Jenni Kline 28 March 2014.</w:t>
      </w:r>
    </w:p>
  </w:footnote>
  <w:footnote w:id="67">
    <w:p w14:paraId="0E7ADF4D" w14:textId="77777777" w:rsidR="006C1607" w:rsidRPr="00280290" w:rsidRDefault="006C1607" w:rsidP="002304DD">
      <w:pPr>
        <w:pStyle w:val="FootnoteText"/>
        <w:tabs>
          <w:tab w:val="left" w:pos="6260"/>
        </w:tabs>
      </w:pPr>
      <w:r w:rsidRPr="00280290">
        <w:rPr>
          <w:rStyle w:val="FootnoteReference"/>
        </w:rPr>
        <w:footnoteRef/>
      </w:r>
      <w:r w:rsidRPr="00280290">
        <w:t xml:space="preserve"> Interview with Parent 1 conducted by Jenni Kline 26 February 2014. </w:t>
      </w:r>
      <w:r w:rsidRPr="00280290">
        <w:tab/>
      </w:r>
    </w:p>
  </w:footnote>
  <w:footnote w:id="68">
    <w:p w14:paraId="1AD54579" w14:textId="77777777" w:rsidR="006C1607" w:rsidRPr="00280290" w:rsidRDefault="006C1607" w:rsidP="00780B84">
      <w:pPr>
        <w:pStyle w:val="FootnoteText"/>
      </w:pPr>
      <w:r w:rsidRPr="00280290">
        <w:rPr>
          <w:rStyle w:val="FootnoteReference"/>
        </w:rPr>
        <w:footnoteRef/>
      </w:r>
      <w:r w:rsidRPr="00280290">
        <w:t xml:space="preserve"> Art. 14, Convention on the Rights of Persons with Disabilities (2006) http://www.un.org/disabilities/default.asp</w:t>
      </w:r>
      <w:proofErr w:type="gramStart"/>
      <w:r w:rsidRPr="00280290">
        <w:t>?id</w:t>
      </w:r>
      <w:proofErr w:type="gramEnd"/>
      <w:r w:rsidRPr="00280290">
        <w:t>=259.</w:t>
      </w:r>
    </w:p>
  </w:footnote>
  <w:footnote w:id="69">
    <w:p w14:paraId="02D6E4CA" w14:textId="77777777" w:rsidR="006C1607" w:rsidRPr="00280290" w:rsidRDefault="006C1607" w:rsidP="00780B84">
      <w:pPr>
        <w:pStyle w:val="FootnoteText"/>
      </w:pPr>
      <w:r w:rsidRPr="00280290">
        <w:rPr>
          <w:rStyle w:val="FootnoteReference"/>
        </w:rPr>
        <w:footnoteRef/>
      </w:r>
      <w:r w:rsidRPr="00280290">
        <w:t xml:space="preserve"> Art. </w:t>
      </w:r>
      <w:proofErr w:type="gramStart"/>
      <w:r w:rsidRPr="00280290">
        <w:t>12, Convention on the Rights of the Child (1989).</w:t>
      </w:r>
      <w:proofErr w:type="gramEnd"/>
      <w:r>
        <w:t xml:space="preserve"> </w:t>
      </w:r>
      <w:proofErr w:type="gramStart"/>
      <w:r w:rsidRPr="00BC42B2">
        <w:t>Available at http://www.ohchr.org/en/professionalinterest/pages/crc.aspx</w:t>
      </w:r>
      <w:r>
        <w:t>;</w:t>
      </w:r>
      <w:r w:rsidRPr="00280290">
        <w:t xml:space="preserve"> Article 7 Convention on the Right</w:t>
      </w:r>
      <w:r>
        <w:t>s of Children with Disabilities.</w:t>
      </w:r>
      <w:proofErr w:type="gramEnd"/>
      <w:r>
        <w:t xml:space="preserve"> </w:t>
      </w:r>
      <w:r w:rsidRPr="00BC42B2">
        <w:t>Available at &lt;http://www.un.org/disabilities/default.asp</w:t>
      </w:r>
      <w:proofErr w:type="gramStart"/>
      <w:r w:rsidRPr="00BC42B2">
        <w:t>?id</w:t>
      </w:r>
      <w:proofErr w:type="gramEnd"/>
      <w:r w:rsidRPr="00BC42B2">
        <w:t>=259&gt; (last accessed 6 April 2015).</w:t>
      </w:r>
    </w:p>
  </w:footnote>
  <w:footnote w:id="70">
    <w:p w14:paraId="0913C4D8" w14:textId="77777777" w:rsidR="006C1607" w:rsidRPr="003573CC" w:rsidRDefault="006C1607" w:rsidP="00780B84">
      <w:pPr>
        <w:pStyle w:val="FootnoteText"/>
      </w:pPr>
      <w:r w:rsidRPr="00280290">
        <w:rPr>
          <w:rStyle w:val="FootnoteReference"/>
        </w:rPr>
        <w:footnoteRef/>
      </w:r>
      <w:r w:rsidRPr="00280290">
        <w:t xml:space="preserve"> Art. </w:t>
      </w:r>
      <w:proofErr w:type="gramStart"/>
      <w:r w:rsidRPr="00280290">
        <w:t>12, Convention on the Rights of the Child (1989).</w:t>
      </w:r>
      <w:proofErr w:type="gramEnd"/>
      <w:r>
        <w:t xml:space="preserve"> </w:t>
      </w:r>
      <w:proofErr w:type="gramStart"/>
      <w:r w:rsidRPr="003573CC">
        <w:t>Available at &lt;http://www.ohchr.org/en/professionalinterest/pages/crc.aspx&gt;</w:t>
      </w:r>
      <w:r>
        <w:t>;</w:t>
      </w:r>
      <w:r w:rsidRPr="00280290">
        <w:t xml:space="preserve"> Article 7 Convention on the Right</w:t>
      </w:r>
      <w:r>
        <w:t>s of Children with Disabilities.</w:t>
      </w:r>
      <w:proofErr w:type="gramEnd"/>
      <w:r>
        <w:t xml:space="preserve"> </w:t>
      </w:r>
      <w:r w:rsidRPr="003573CC">
        <w:t>Available at &lt;http://www.un.org/disabilities/default.asp</w:t>
      </w:r>
      <w:proofErr w:type="gramStart"/>
      <w:r w:rsidRPr="003573CC">
        <w:t>?id</w:t>
      </w:r>
      <w:proofErr w:type="gramEnd"/>
      <w:r w:rsidRPr="003573CC">
        <w:t>=259&gt; (last accessed 6 April 2015).</w:t>
      </w:r>
    </w:p>
  </w:footnote>
  <w:footnote w:id="71">
    <w:p w14:paraId="5673536F" w14:textId="77777777" w:rsidR="006C1607" w:rsidRPr="00280290" w:rsidRDefault="006C1607">
      <w:pPr>
        <w:pStyle w:val="FootnoteText"/>
      </w:pPr>
      <w:r w:rsidRPr="00280290">
        <w:rPr>
          <w:rStyle w:val="FootnoteReference"/>
        </w:rPr>
        <w:footnoteRef/>
      </w:r>
      <w:r w:rsidRPr="00280290">
        <w:t xml:space="preserve"> Health Service Executive, ‘Review of Adequacy for HSE Children and Family Services’ (2011) 51</w:t>
      </w:r>
      <w:r>
        <w:t xml:space="preserve">. </w:t>
      </w:r>
      <w:proofErr w:type="gramStart"/>
      <w:r>
        <w:t xml:space="preserve">Available at </w:t>
      </w:r>
      <w:r w:rsidRPr="00280290">
        <w:t>&lt;http://www.tusla.ie/uploads/content/Publications_reviewofadequacy2011.pdf&gt;</w:t>
      </w:r>
      <w:r>
        <w:t xml:space="preserve"> (last </w:t>
      </w:r>
      <w:r w:rsidRPr="00280290">
        <w:t>accessed 14 April 2015</w:t>
      </w:r>
      <w:r>
        <w:t>)</w:t>
      </w:r>
      <w:r w:rsidRPr="00280290">
        <w:t>.</w:t>
      </w:r>
      <w:proofErr w:type="gramEnd"/>
    </w:p>
  </w:footnote>
  <w:footnote w:id="72">
    <w:p w14:paraId="2154A64E" w14:textId="77777777" w:rsidR="006C1607" w:rsidRPr="00280290" w:rsidRDefault="006C1607">
      <w:pPr>
        <w:pStyle w:val="FootnoteText"/>
        <w:rPr>
          <w:lang w:val="en-US"/>
        </w:rPr>
      </w:pPr>
      <w:r w:rsidRPr="00280290">
        <w:rPr>
          <w:rStyle w:val="FootnoteReference"/>
        </w:rPr>
        <w:footnoteRef/>
      </w:r>
      <w:r>
        <w:rPr>
          <w:lang w:val="en-US"/>
        </w:rPr>
        <w:t xml:space="preserve"> </w:t>
      </w:r>
      <w:r w:rsidRPr="003573CC">
        <w:rPr>
          <w:lang w:val="en-US"/>
        </w:rPr>
        <w:t>Ibid</w:t>
      </w:r>
      <w:r w:rsidRPr="00280290">
        <w:rPr>
          <w:i/>
          <w:lang w:val="en-US"/>
        </w:rPr>
        <w:t>.</w:t>
      </w:r>
      <w:r w:rsidRPr="00280290">
        <w:rPr>
          <w:lang w:val="en-US"/>
        </w:rPr>
        <w:t xml:space="preserve"> </w:t>
      </w:r>
      <w:proofErr w:type="gramStart"/>
      <w:r w:rsidRPr="00280290">
        <w:rPr>
          <w:lang w:val="en-US"/>
        </w:rPr>
        <w:t>at</w:t>
      </w:r>
      <w:proofErr w:type="gramEnd"/>
      <w:r w:rsidRPr="00280290">
        <w:rPr>
          <w:lang w:val="en-US"/>
        </w:rPr>
        <w:t xml:space="preserve"> 50.</w:t>
      </w:r>
    </w:p>
  </w:footnote>
  <w:footnote w:id="73">
    <w:p w14:paraId="477CB27C" w14:textId="77777777" w:rsidR="006C1607" w:rsidRPr="00280290" w:rsidRDefault="006C1607" w:rsidP="004554BA">
      <w:pPr>
        <w:pStyle w:val="FootnoteText"/>
      </w:pPr>
      <w:r w:rsidRPr="00280290">
        <w:rPr>
          <w:rStyle w:val="FootnoteReference"/>
        </w:rPr>
        <w:footnoteRef/>
      </w:r>
      <w:r w:rsidRPr="00280290">
        <w:t xml:space="preserve"> Health Service Executive, ‘Review of Adequacy for HSE Children and Family Services’ (2011) 49</w:t>
      </w:r>
      <w:r>
        <w:t xml:space="preserve">. </w:t>
      </w:r>
      <w:proofErr w:type="gramStart"/>
      <w:r>
        <w:t>Available at</w:t>
      </w:r>
      <w:r w:rsidRPr="00280290">
        <w:t>&lt;http://www.tusla.ie/uploads/content/Publications_reviewofadequacy2011.pdf&gt;</w:t>
      </w:r>
      <w:r>
        <w:t xml:space="preserve">(last </w:t>
      </w:r>
      <w:r w:rsidRPr="00280290">
        <w:t>accessed 14 August 2013</w:t>
      </w:r>
      <w:r>
        <w:t>)</w:t>
      </w:r>
      <w:r w:rsidRPr="00280290">
        <w:t>.</w:t>
      </w:r>
      <w:proofErr w:type="gramEnd"/>
    </w:p>
  </w:footnote>
  <w:footnote w:id="74">
    <w:p w14:paraId="15D82913" w14:textId="77777777" w:rsidR="006C1607" w:rsidRPr="00280290" w:rsidRDefault="006C1607">
      <w:pPr>
        <w:pStyle w:val="FootnoteText"/>
      </w:pPr>
      <w:r w:rsidRPr="00280290">
        <w:rPr>
          <w:rStyle w:val="FootnoteReference"/>
        </w:rPr>
        <w:footnoteRef/>
      </w:r>
      <w:r>
        <w:t xml:space="preserve"> </w:t>
      </w:r>
      <w:proofErr w:type="gramStart"/>
      <w:r w:rsidRPr="00280290">
        <w:t xml:space="preserve">Department of Children and </w:t>
      </w:r>
      <w:r>
        <w:t>Youth Affairs, Residential Care.</w:t>
      </w:r>
      <w:proofErr w:type="gramEnd"/>
      <w:r>
        <w:t xml:space="preserve"> </w:t>
      </w:r>
      <w:proofErr w:type="gramStart"/>
      <w:r w:rsidRPr="003573CC">
        <w:t>Available at</w:t>
      </w:r>
      <w:r>
        <w:t xml:space="preserve"> &lt;</w:t>
      </w:r>
      <w:r w:rsidRPr="003573CC">
        <w:t>http://www.dcya.gov.ie/docs/Residential_Care/2586.htm</w:t>
      </w:r>
      <w:r>
        <w:t>&gt;</w:t>
      </w:r>
      <w:r w:rsidRPr="00280290">
        <w:t xml:space="preserve"> (last accessed 7 April 2015).</w:t>
      </w:r>
      <w:proofErr w:type="gramEnd"/>
    </w:p>
  </w:footnote>
  <w:footnote w:id="75">
    <w:p w14:paraId="20AC7234" w14:textId="77777777" w:rsidR="006C1607" w:rsidRPr="00280290" w:rsidRDefault="006C1607" w:rsidP="001B5B1E">
      <w:pPr>
        <w:pStyle w:val="FootnoteText"/>
      </w:pPr>
      <w:r w:rsidRPr="00280290">
        <w:rPr>
          <w:rStyle w:val="FootnoteReference"/>
        </w:rPr>
        <w:footnoteRef/>
      </w:r>
      <w:r w:rsidRPr="00280290">
        <w:t xml:space="preserve"> Children’s Mental Health Coalition and Children’s Research Network for Ireland and Northern Ireland, </w:t>
      </w:r>
      <w:r w:rsidRPr="00280290">
        <w:rPr>
          <w:i/>
        </w:rPr>
        <w:t>Someone to Care</w:t>
      </w:r>
      <w:r w:rsidRPr="00280290">
        <w:t>, (2013).</w:t>
      </w:r>
    </w:p>
  </w:footnote>
  <w:footnote w:id="76">
    <w:p w14:paraId="12A6067E" w14:textId="77777777" w:rsidR="006C1607" w:rsidRPr="00280290" w:rsidRDefault="006C1607" w:rsidP="001B5B1E">
      <w:pPr>
        <w:pStyle w:val="FootnoteText"/>
      </w:pPr>
      <w:r w:rsidRPr="00280290">
        <w:rPr>
          <w:rStyle w:val="FootnoteReference"/>
        </w:rPr>
        <w:footnoteRef/>
      </w:r>
      <w:r>
        <w:t xml:space="preserve"> </w:t>
      </w:r>
      <w:r w:rsidRPr="00280290">
        <w:t xml:space="preserve">Carol Coulter, </w:t>
      </w:r>
      <w:r w:rsidRPr="00280290">
        <w:rPr>
          <w:i/>
        </w:rPr>
        <w:t>Interim Report- Child Care Law Reporting Project</w:t>
      </w:r>
      <w:r w:rsidRPr="00280290">
        <w:t xml:space="preserve"> (November 2013) 47.Available at &lt;http://www.childlawproject.ie/wp-content/uploads/2013/11/correctedinterimreport.pdf&gt;</w:t>
      </w:r>
      <w:r>
        <w:t xml:space="preserve">(last </w:t>
      </w:r>
      <w:r w:rsidRPr="00280290">
        <w:t>accessed 25 March 2014</w:t>
      </w:r>
      <w:r>
        <w:t>)</w:t>
      </w:r>
      <w:r w:rsidRPr="00280290">
        <w:t>.</w:t>
      </w:r>
    </w:p>
  </w:footnote>
  <w:footnote w:id="77">
    <w:p w14:paraId="0653BBD6" w14:textId="77777777" w:rsidR="006C1607" w:rsidRPr="00280290" w:rsidRDefault="006C1607" w:rsidP="00BB1B6C">
      <w:pPr>
        <w:pStyle w:val="FootnoteText"/>
      </w:pPr>
      <w:r w:rsidRPr="00280290">
        <w:rPr>
          <w:rStyle w:val="FootnoteReference"/>
        </w:rPr>
        <w:footnoteRef/>
      </w:r>
      <w:r>
        <w:t xml:space="preserve"> </w:t>
      </w:r>
      <w:r w:rsidRPr="00280290">
        <w:t xml:space="preserve">Court Service, Family Law, </w:t>
      </w:r>
      <w:r w:rsidRPr="00280290">
        <w:rPr>
          <w:i/>
        </w:rPr>
        <w:t>General Information</w:t>
      </w:r>
      <w:r>
        <w:t xml:space="preserve">, </w:t>
      </w:r>
      <w:proofErr w:type="gramStart"/>
      <w:r>
        <w:t>Available</w:t>
      </w:r>
      <w:proofErr w:type="gramEnd"/>
      <w:r>
        <w:t xml:space="preserve"> at &lt;</w:t>
      </w:r>
      <w:r w:rsidRPr="00280290">
        <w:t>http://www.courts.ie/Courts.ie/library3.nsf/pagecurrent/07485CD701DD7B89802577EA003FAAEA&gt;</w:t>
      </w:r>
      <w:r>
        <w:t xml:space="preserve">(last </w:t>
      </w:r>
      <w:r w:rsidRPr="00280290">
        <w:t>accessed 13 November 2013</w:t>
      </w:r>
      <w:r>
        <w:t>)</w:t>
      </w:r>
      <w:r w:rsidRPr="00280290">
        <w:t>.</w:t>
      </w:r>
    </w:p>
  </w:footnote>
  <w:footnote w:id="78">
    <w:p w14:paraId="5559ACB9" w14:textId="77777777" w:rsidR="006C1607" w:rsidRPr="00280290" w:rsidRDefault="006C1607" w:rsidP="00BB1B6C">
      <w:pPr>
        <w:pStyle w:val="FootnoteText"/>
      </w:pPr>
      <w:r w:rsidRPr="00280290">
        <w:rPr>
          <w:rStyle w:val="FootnoteReference"/>
        </w:rPr>
        <w:footnoteRef/>
      </w:r>
      <w:r w:rsidRPr="00280290">
        <w:t xml:space="preserve"> Carol Coulter, </w:t>
      </w:r>
      <w:r w:rsidRPr="00280290">
        <w:rPr>
          <w:i/>
        </w:rPr>
        <w:t xml:space="preserve">Family law should not exist in a cocoon isolated </w:t>
      </w:r>
      <w:r>
        <w:rPr>
          <w:i/>
        </w:rPr>
        <w:t>f</w:t>
      </w:r>
      <w:r w:rsidRPr="00280290">
        <w:rPr>
          <w:i/>
        </w:rPr>
        <w:t>rom general legal principles</w:t>
      </w:r>
      <w:r w:rsidRPr="00280290">
        <w:t xml:space="preserve">, The Irish Times (8 August 2013). </w:t>
      </w:r>
      <w:proofErr w:type="gramStart"/>
      <w:r w:rsidRPr="00280290">
        <w:t>Available at &lt;http://www.irishtimes.com/news/crime-and-law/family-law-should-not-exist-in-a-cocoon-isolated-from-general-legal-principles-1.1487452&gt;</w:t>
      </w:r>
      <w:r>
        <w:t xml:space="preserve">(last </w:t>
      </w:r>
      <w:r w:rsidRPr="00280290">
        <w:t>accessed 13 November 2013</w:t>
      </w:r>
      <w:r>
        <w:t>)</w:t>
      </w:r>
      <w:r w:rsidRPr="00280290">
        <w:t>.</w:t>
      </w:r>
      <w:proofErr w:type="gramEnd"/>
    </w:p>
  </w:footnote>
  <w:footnote w:id="79">
    <w:p w14:paraId="6C4426F2" w14:textId="77777777" w:rsidR="006C1607" w:rsidRPr="00280290" w:rsidRDefault="006C1607" w:rsidP="00BB1B6C">
      <w:pPr>
        <w:pStyle w:val="FootnoteText"/>
      </w:pPr>
      <w:r w:rsidRPr="00280290">
        <w:rPr>
          <w:rStyle w:val="FootnoteReference"/>
        </w:rPr>
        <w:footnoteRef/>
      </w:r>
      <w:r w:rsidRPr="00280290">
        <w:t xml:space="preserve"> </w:t>
      </w:r>
      <w:proofErr w:type="gramStart"/>
      <w:r w:rsidRPr="00280290">
        <w:t>Child</w:t>
      </w:r>
      <w:r>
        <w:t xml:space="preserve"> Law Project, Available at</w:t>
      </w:r>
      <w:r w:rsidRPr="00280290">
        <w:t xml:space="preserve"> &lt;http://www.childlawproject.ie/&gt;</w:t>
      </w:r>
      <w:r>
        <w:t xml:space="preserve">(last </w:t>
      </w:r>
      <w:r w:rsidRPr="00280290">
        <w:t>accessed 13 November 2013</w:t>
      </w:r>
      <w:r>
        <w:t>);</w:t>
      </w:r>
      <w:r w:rsidRPr="00280290">
        <w:t xml:space="preserve"> Carol Coulter, </w:t>
      </w:r>
      <w:r w:rsidRPr="00280290">
        <w:rPr>
          <w:i/>
        </w:rPr>
        <w:t>Interim Report- Child Care Law Reporting Project</w:t>
      </w:r>
      <w:r w:rsidRPr="00280290">
        <w:t xml:space="preserve"> (November 2013).</w:t>
      </w:r>
      <w:proofErr w:type="gramEnd"/>
      <w:r w:rsidRPr="00280290">
        <w:t xml:space="preserve"> </w:t>
      </w:r>
      <w:proofErr w:type="gramStart"/>
      <w:r w:rsidRPr="00280290">
        <w:t>Available at &lt;http://www.childlawproject.ie/wp-content/uploads/2013/11/correctedinterimreport.pdf&gt;</w:t>
      </w:r>
      <w:r>
        <w:t xml:space="preserve">(last </w:t>
      </w:r>
      <w:r w:rsidRPr="00280290">
        <w:t>accessed 25 March 2014</w:t>
      </w:r>
      <w:r>
        <w:t>)</w:t>
      </w:r>
      <w:r w:rsidRPr="00280290">
        <w:t>.</w:t>
      </w:r>
      <w:proofErr w:type="gramEnd"/>
    </w:p>
  </w:footnote>
  <w:footnote w:id="80">
    <w:p w14:paraId="0D9707C8" w14:textId="77777777" w:rsidR="006C1607" w:rsidRPr="00280290" w:rsidRDefault="006C1607" w:rsidP="00BB1B6C">
      <w:pPr>
        <w:pStyle w:val="FootnoteText"/>
      </w:pPr>
      <w:r w:rsidRPr="00280290">
        <w:rPr>
          <w:rStyle w:val="FootnoteReference"/>
        </w:rPr>
        <w:footnoteRef/>
      </w:r>
      <w:r w:rsidRPr="00280290">
        <w:t xml:space="preserve"> Conor O’Mahony, Caroline Shore </w:t>
      </w:r>
      <w:r w:rsidRPr="00796B67">
        <w:t>et al</w:t>
      </w:r>
      <w:r w:rsidRPr="00FA076E">
        <w:t>. ‘Child Care Proceedings in the District Court: What Do We Really Know?’</w:t>
      </w:r>
      <w:r>
        <w:t xml:space="preserve"> </w:t>
      </w:r>
      <w:proofErr w:type="gramStart"/>
      <w:r>
        <w:t xml:space="preserve">2 </w:t>
      </w:r>
      <w:r w:rsidRPr="00796B67">
        <w:rPr>
          <w:i/>
        </w:rPr>
        <w:t>Irish Journal of Family Law</w:t>
      </w:r>
      <w:r>
        <w:rPr>
          <w:i/>
        </w:rPr>
        <w:t xml:space="preserve"> </w:t>
      </w:r>
      <w:r w:rsidRPr="00280290">
        <w:t>(2012</w:t>
      </w:r>
      <w:r>
        <w:t>)</w:t>
      </w:r>
      <w:r w:rsidRPr="00280290">
        <w:t xml:space="preserve"> 49-56.</w:t>
      </w:r>
      <w:proofErr w:type="gramEnd"/>
    </w:p>
  </w:footnote>
  <w:footnote w:id="81">
    <w:p w14:paraId="76122C7D" w14:textId="77777777" w:rsidR="006C1607" w:rsidRPr="00280290" w:rsidRDefault="006C1607">
      <w:pPr>
        <w:pStyle w:val="FootnoteText"/>
      </w:pPr>
      <w:r w:rsidRPr="00280290">
        <w:rPr>
          <w:rStyle w:val="FootnoteReference"/>
        </w:rPr>
        <w:footnoteRef/>
      </w:r>
      <w:r w:rsidRPr="00280290">
        <w:t xml:space="preserve"> Rosemary Ho</w:t>
      </w:r>
      <w:r>
        <w:t xml:space="preserve">rgan, ‘Foster Care in Ireland’ </w:t>
      </w:r>
      <w:r w:rsidRPr="00280290">
        <w:t>3</w:t>
      </w:r>
      <w:r>
        <w:t>(</w:t>
      </w:r>
      <w:proofErr w:type="gramStart"/>
      <w:r>
        <w:t>1)</w:t>
      </w:r>
      <w:r w:rsidRPr="00280290">
        <w:rPr>
          <w:i/>
        </w:rPr>
        <w:t>Irish</w:t>
      </w:r>
      <w:proofErr w:type="gramEnd"/>
      <w:r w:rsidRPr="00280290">
        <w:rPr>
          <w:i/>
        </w:rPr>
        <w:t xml:space="preserve"> Journal of Applied Social Studies </w:t>
      </w:r>
      <w:r w:rsidRPr="00280290">
        <w:t xml:space="preserve">(2002) 30-31. </w:t>
      </w:r>
      <w:proofErr w:type="gramStart"/>
      <w:r w:rsidRPr="00FA076E">
        <w:t>Available at http://arrow.dit.ie/ijass/vol3/iss1/6</w:t>
      </w:r>
      <w:r w:rsidRPr="00280290">
        <w:t xml:space="preserve"> (last accessed 9 April 2015).</w:t>
      </w:r>
      <w:proofErr w:type="gramEnd"/>
    </w:p>
  </w:footnote>
  <w:footnote w:id="82">
    <w:p w14:paraId="3241B764" w14:textId="77777777" w:rsidR="006C1607" w:rsidRPr="00280290" w:rsidRDefault="006C1607">
      <w:pPr>
        <w:pStyle w:val="FootnoteText"/>
      </w:pPr>
      <w:r w:rsidRPr="00280290">
        <w:rPr>
          <w:rStyle w:val="FootnoteReference"/>
        </w:rPr>
        <w:footnoteRef/>
      </w:r>
      <w:r w:rsidRPr="00FA076E">
        <w:t>Ibid.</w:t>
      </w:r>
      <w:r w:rsidRPr="00280290">
        <w:t xml:space="preserve"> </w:t>
      </w:r>
      <w:proofErr w:type="gramStart"/>
      <w:r w:rsidRPr="00280290">
        <w:t>at</w:t>
      </w:r>
      <w:proofErr w:type="gramEnd"/>
      <w:r w:rsidRPr="00280290">
        <w:t xml:space="preserve"> 32.</w:t>
      </w:r>
    </w:p>
  </w:footnote>
  <w:footnote w:id="83">
    <w:p w14:paraId="1E253419" w14:textId="77777777" w:rsidR="006C1607" w:rsidRPr="00280290" w:rsidRDefault="006C1607">
      <w:pPr>
        <w:pStyle w:val="FootnoteText"/>
        <w:rPr>
          <w:lang w:val="en-US"/>
        </w:rPr>
      </w:pPr>
      <w:r w:rsidRPr="00280290">
        <w:rPr>
          <w:rStyle w:val="FootnoteReference"/>
        </w:rPr>
        <w:footnoteRef/>
      </w:r>
      <w:r w:rsidRPr="00280290">
        <w:t xml:space="preserve">National Federation of Voluntary Bodies, </w:t>
      </w:r>
      <w:r w:rsidRPr="00280290">
        <w:rPr>
          <w:i/>
        </w:rPr>
        <w:t>Informing Families of their Child's Disability-National Best Practices</w:t>
      </w:r>
      <w:r>
        <w:t>.</w:t>
      </w:r>
      <w:r w:rsidRPr="00FA076E">
        <w:t>Available at</w:t>
      </w:r>
      <w:r w:rsidRPr="00280290">
        <w:t>&lt;http://www.fedvol.ie/_fileupload/Publications/Informing_Families_Guidelines.pdf&gt; (last accessed 14 April 2015).</w:t>
      </w:r>
    </w:p>
  </w:footnote>
  <w:footnote w:id="84">
    <w:p w14:paraId="144C6279" w14:textId="77777777" w:rsidR="006C1607" w:rsidRPr="00280290" w:rsidRDefault="006C1607">
      <w:pPr>
        <w:pStyle w:val="FootnoteText"/>
      </w:pPr>
      <w:r w:rsidRPr="00280290">
        <w:rPr>
          <w:rStyle w:val="FootnoteReference"/>
        </w:rPr>
        <w:footnoteRef/>
      </w:r>
      <w:r w:rsidRPr="00280290">
        <w:t xml:space="preserve"> Carol Hamilton and Dorothy Atkinson, ‘A Story to Tell- learning from the life stories of older people with intellectual disabilities in </w:t>
      </w:r>
      <w:proofErr w:type="gramStart"/>
      <w:r w:rsidRPr="00280290">
        <w:t>Ireland’37</w:t>
      </w:r>
      <w:r>
        <w:t>(</w:t>
      </w:r>
      <w:proofErr w:type="gramEnd"/>
      <w:r>
        <w:t>4)</w:t>
      </w:r>
      <w:r w:rsidRPr="00280290">
        <w:rPr>
          <w:i/>
        </w:rPr>
        <w:t>British Journal of Intellectual Disability</w:t>
      </w:r>
      <w:r w:rsidRPr="00280290">
        <w:t xml:space="preserve"> (2009) 316.</w:t>
      </w:r>
    </w:p>
  </w:footnote>
  <w:footnote w:id="85">
    <w:p w14:paraId="516A890F" w14:textId="77777777" w:rsidR="006C1607" w:rsidRPr="00280290" w:rsidRDefault="006C1607" w:rsidP="007C08D0">
      <w:pPr>
        <w:pStyle w:val="FootnoteText"/>
      </w:pPr>
      <w:r w:rsidRPr="00280290">
        <w:rPr>
          <w:rStyle w:val="FootnoteReference"/>
        </w:rPr>
        <w:footnoteRef/>
      </w:r>
      <w:r w:rsidRPr="00280290">
        <w:t xml:space="preserve"> Art</w:t>
      </w:r>
      <w:r>
        <w:rPr>
          <w:lang w:val="en-US"/>
        </w:rPr>
        <w:t>.</w:t>
      </w:r>
      <w:r w:rsidRPr="00280290">
        <w:t>41, Constitution of Ireland.</w:t>
      </w:r>
    </w:p>
  </w:footnote>
  <w:footnote w:id="86">
    <w:p w14:paraId="7F18DAC3" w14:textId="77777777" w:rsidR="006C1607" w:rsidRPr="00280290" w:rsidRDefault="006C1607" w:rsidP="007C08D0">
      <w:pPr>
        <w:pStyle w:val="FootnoteText"/>
      </w:pPr>
      <w:r w:rsidRPr="00280290">
        <w:rPr>
          <w:rStyle w:val="FootnoteReference"/>
        </w:rPr>
        <w:footnoteRef/>
      </w:r>
      <w:r w:rsidRPr="00280290">
        <w:t xml:space="preserve"> Ursula Kilkelly, </w:t>
      </w:r>
      <w:r w:rsidRPr="008857B9">
        <w:t xml:space="preserve">‘Children’s Rights and the Family: Myth and </w:t>
      </w:r>
      <w:proofErr w:type="gramStart"/>
      <w:r w:rsidRPr="008857B9">
        <w:t>Reality’</w:t>
      </w:r>
      <w:r>
        <w:t>97(</w:t>
      </w:r>
      <w:proofErr w:type="gramEnd"/>
      <w:r>
        <w:t xml:space="preserve">385) </w:t>
      </w:r>
      <w:r w:rsidRPr="008857B9">
        <w:rPr>
          <w:i/>
        </w:rPr>
        <w:t>Studies: An Irish Quarterly Review</w:t>
      </w:r>
      <w:r w:rsidRPr="00280290">
        <w:t xml:space="preserve"> (Spring 2008) 12.</w:t>
      </w:r>
    </w:p>
  </w:footnote>
  <w:footnote w:id="87">
    <w:p w14:paraId="778D74A1" w14:textId="77777777" w:rsidR="006C1607" w:rsidRPr="00280290" w:rsidRDefault="006C1607" w:rsidP="001B5B1E">
      <w:pPr>
        <w:pStyle w:val="FootnoteText"/>
      </w:pPr>
      <w:r w:rsidRPr="00280290">
        <w:rPr>
          <w:rStyle w:val="FootnoteReference"/>
        </w:rPr>
        <w:footnoteRef/>
      </w:r>
      <w:proofErr w:type="gramStart"/>
      <w:r w:rsidRPr="00280290">
        <w:t>Court Service, Statistics, Childcare, &lt;http://www.courts.ie/courts.ie/library3.nsf/66d7c83325e8568b80256ffe00466ca0/7db7d4bcf6917f8880257a7600568afe?OpenDocument&gt;</w:t>
      </w:r>
      <w:r>
        <w:t xml:space="preserve"> (last </w:t>
      </w:r>
      <w:r w:rsidRPr="00280290">
        <w:t>accessed 9 October 2013</w:t>
      </w:r>
      <w:r>
        <w:t>).</w:t>
      </w:r>
      <w:proofErr w:type="gramEnd"/>
    </w:p>
  </w:footnote>
  <w:footnote w:id="88">
    <w:p w14:paraId="08C04631" w14:textId="77777777" w:rsidR="006C1607" w:rsidRPr="00280290" w:rsidRDefault="006C1607" w:rsidP="001B5B1E">
      <w:pPr>
        <w:pStyle w:val="FootnoteText"/>
      </w:pPr>
      <w:r w:rsidRPr="00280290">
        <w:rPr>
          <w:rStyle w:val="FootnoteReference"/>
        </w:rPr>
        <w:footnoteRef/>
      </w:r>
      <w:r w:rsidRPr="00280290">
        <w:t xml:space="preserve"> Interview with District Court Judge conducted by Jenni Kline on 10 March 2014.</w:t>
      </w:r>
    </w:p>
  </w:footnote>
  <w:footnote w:id="89">
    <w:p w14:paraId="53518976" w14:textId="77777777" w:rsidR="006C1607" w:rsidRPr="00280290" w:rsidRDefault="006C1607" w:rsidP="001B5B1E">
      <w:pPr>
        <w:pStyle w:val="FootnoteText"/>
      </w:pPr>
      <w:r w:rsidRPr="00280290">
        <w:rPr>
          <w:rStyle w:val="FootnoteReference"/>
        </w:rPr>
        <w:footnoteRef/>
      </w:r>
      <w:r>
        <w:t xml:space="preserve"> </w:t>
      </w:r>
      <w:r w:rsidRPr="00280290">
        <w:t xml:space="preserve">Carol Coulter, </w:t>
      </w:r>
      <w:r w:rsidRPr="00280290">
        <w:rPr>
          <w:i/>
        </w:rPr>
        <w:t>Interim Report- Child Care Law Reporting Project</w:t>
      </w:r>
      <w:r w:rsidRPr="00280290">
        <w:t xml:space="preserve"> (November 2013) 46.Available at &lt;http://www.childlawproject.ie/wp-content/uploads/2013/11/correctedinterimreport.pdf&gt;</w:t>
      </w:r>
      <w:r>
        <w:t xml:space="preserve">(last </w:t>
      </w:r>
      <w:r w:rsidRPr="00280290">
        <w:t>accessed 25 March 2014</w:t>
      </w:r>
      <w:r>
        <w:t>)</w:t>
      </w:r>
      <w:r w:rsidRPr="00280290">
        <w:t>.</w:t>
      </w:r>
    </w:p>
  </w:footnote>
  <w:footnote w:id="90">
    <w:p w14:paraId="7A134E87" w14:textId="77777777" w:rsidR="006C1607" w:rsidRPr="00280290" w:rsidRDefault="006C1607" w:rsidP="006B0B5F">
      <w:pPr>
        <w:pStyle w:val="FootnoteText"/>
      </w:pPr>
      <w:r w:rsidRPr="00280290">
        <w:rPr>
          <w:rStyle w:val="FootnoteReference"/>
        </w:rPr>
        <w:footnoteRef/>
      </w:r>
      <w:r w:rsidRPr="00280290">
        <w:t xml:space="preserve"> Ursula Kilkelly, </w:t>
      </w:r>
      <w:r w:rsidRPr="00280290">
        <w:rPr>
          <w:i/>
        </w:rPr>
        <w:t xml:space="preserve">Barriers to the Realisation of Children’s Rights in Ireland, </w:t>
      </w:r>
      <w:r w:rsidRPr="00280290">
        <w:t>Commissioned by the Ombudsman for Children, (2007) 13.</w:t>
      </w:r>
    </w:p>
  </w:footnote>
  <w:footnote w:id="91">
    <w:p w14:paraId="51B88901" w14:textId="77777777" w:rsidR="006C1607" w:rsidRPr="00280290" w:rsidRDefault="006C1607" w:rsidP="006B0B5F">
      <w:pPr>
        <w:pStyle w:val="FootnoteText"/>
      </w:pPr>
      <w:r w:rsidRPr="00280290">
        <w:rPr>
          <w:rStyle w:val="FootnoteReference"/>
        </w:rPr>
        <w:footnoteRef/>
      </w:r>
      <w:r w:rsidRPr="00280290">
        <w:t xml:space="preserve"> Sheila McGree</w:t>
      </w:r>
      <w:r w:rsidRPr="001535BE">
        <w:t>et al</w:t>
      </w:r>
      <w:r w:rsidRPr="00280290">
        <w:rPr>
          <w:i/>
        </w:rPr>
        <w:t>.</w:t>
      </w:r>
      <w:r>
        <w:rPr>
          <w:i/>
        </w:rPr>
        <w:t xml:space="preserve"> </w:t>
      </w:r>
      <w:r w:rsidRPr="00280290">
        <w:rPr>
          <w:i/>
        </w:rPr>
        <w:t xml:space="preserve">Having A Say-In Care Reviews A Study of Children in Foster Care, </w:t>
      </w:r>
      <w:r w:rsidRPr="00280290">
        <w:t>Athlone Institute of Technology with the Healt</w:t>
      </w:r>
      <w:r>
        <w:t>h Service Executive (2006) 47.</w:t>
      </w:r>
      <w:r w:rsidRPr="001535BE">
        <w:rPr>
          <w:lang w:val="en-US"/>
        </w:rPr>
        <w:t>Available at</w:t>
      </w:r>
      <w:r>
        <w:t>&lt;</w:t>
      </w:r>
      <w:r w:rsidRPr="00280290">
        <w:t>http://www.dcya.gov.ie/documents/publications/Havingasay.pdf&gt; last accessed 28 October 2013.</w:t>
      </w:r>
    </w:p>
  </w:footnote>
  <w:footnote w:id="92">
    <w:p w14:paraId="2F6CBDDC" w14:textId="77777777" w:rsidR="006C1607" w:rsidRPr="00280290" w:rsidRDefault="006C1607" w:rsidP="006B0B5F">
      <w:pPr>
        <w:pStyle w:val="FootnoteText"/>
      </w:pPr>
      <w:r w:rsidRPr="00280290">
        <w:rPr>
          <w:rStyle w:val="FootnoteReference"/>
        </w:rPr>
        <w:footnoteRef/>
      </w:r>
      <w:r>
        <w:t xml:space="preserve"> Merike Darmody et al. </w:t>
      </w:r>
      <w:r w:rsidRPr="00280290">
        <w:rPr>
          <w:i/>
        </w:rPr>
        <w:t xml:space="preserve">Education of Children in Care in Ireland: An Exploratory </w:t>
      </w:r>
      <w:r w:rsidRPr="00280290">
        <w:t>Study, Commissioned by the Ombudsman for Children, (May 2013) 45.</w:t>
      </w:r>
    </w:p>
  </w:footnote>
  <w:footnote w:id="93">
    <w:p w14:paraId="79BC7A3C" w14:textId="77777777" w:rsidR="006C1607" w:rsidRPr="00280290" w:rsidRDefault="006C1607" w:rsidP="006B0B5F">
      <w:pPr>
        <w:pStyle w:val="FootnoteText"/>
      </w:pPr>
      <w:r w:rsidRPr="00280290">
        <w:rPr>
          <w:rStyle w:val="FootnoteReference"/>
        </w:rPr>
        <w:footnoteRef/>
      </w:r>
      <w:r>
        <w:t xml:space="preserve"> </w:t>
      </w:r>
      <w:proofErr w:type="gramStart"/>
      <w:r w:rsidRPr="00280290">
        <w:t xml:space="preserve">Carol Coulter, </w:t>
      </w:r>
      <w:r w:rsidRPr="00280290">
        <w:rPr>
          <w:i/>
        </w:rPr>
        <w:t>Interim Report- Child Care Law Reporting Project</w:t>
      </w:r>
      <w:r w:rsidRPr="00280290">
        <w:t xml:space="preserve"> (November 2013).</w:t>
      </w:r>
      <w:proofErr w:type="gramEnd"/>
      <w:r w:rsidRPr="00280290">
        <w:t xml:space="preserve"> Available at &lt;http://www.childlawproject.ie/wp-content/uploads/2013/11/correctedinterimreport.pdf&gt; accessed 21 March 2014.</w:t>
      </w:r>
    </w:p>
  </w:footnote>
  <w:footnote w:id="94">
    <w:p w14:paraId="4EAA3D6B" w14:textId="77777777" w:rsidR="006C1607" w:rsidRPr="00280290" w:rsidRDefault="006C1607" w:rsidP="006B0B5F">
      <w:pPr>
        <w:pStyle w:val="FootnoteText"/>
      </w:pPr>
      <w:r w:rsidRPr="00280290">
        <w:rPr>
          <w:rStyle w:val="FootnoteReference"/>
        </w:rPr>
        <w:footnoteRef/>
      </w:r>
      <w:r>
        <w:t xml:space="preserve"> </w:t>
      </w:r>
      <w:proofErr w:type="gramStart"/>
      <w:r w:rsidRPr="00280290">
        <w:t xml:space="preserve">Carol Coulter, </w:t>
      </w:r>
      <w:r w:rsidRPr="00280290">
        <w:rPr>
          <w:i/>
        </w:rPr>
        <w:t>Interim Report- Child Care Law Reporting Project</w:t>
      </w:r>
      <w:r w:rsidRPr="00280290">
        <w:t xml:space="preserve"> (November 2013) 52.</w:t>
      </w:r>
      <w:proofErr w:type="gramEnd"/>
      <w:r w:rsidRPr="00280290">
        <w:t xml:space="preserve"> Available at &lt;http://www.childlawproject.ie/wp-content/uploads/2013/11/correctedinterimreport.pdf&gt; accessed 25 March 2014.</w:t>
      </w:r>
    </w:p>
  </w:footnote>
  <w:footnote w:id="95">
    <w:p w14:paraId="740301D1" w14:textId="77777777" w:rsidR="006C1607" w:rsidRPr="00280290" w:rsidRDefault="006C1607" w:rsidP="007C08D0">
      <w:pPr>
        <w:pStyle w:val="FootnoteText"/>
      </w:pPr>
      <w:r w:rsidRPr="00280290">
        <w:rPr>
          <w:rStyle w:val="FootnoteReference"/>
        </w:rPr>
        <w:footnoteRef/>
      </w:r>
      <w:r w:rsidRPr="00280290">
        <w:t xml:space="preserve"> </w:t>
      </w:r>
      <w:r>
        <w:t>Child Care Act 1991</w:t>
      </w:r>
    </w:p>
  </w:footnote>
  <w:footnote w:id="96">
    <w:p w14:paraId="3269A7DC" w14:textId="77777777" w:rsidR="006C1607" w:rsidRPr="00280290" w:rsidRDefault="006C1607" w:rsidP="007C08D0">
      <w:pPr>
        <w:pStyle w:val="FootnoteText"/>
      </w:pPr>
      <w:r w:rsidRPr="00280290">
        <w:rPr>
          <w:rStyle w:val="FootnoteReference"/>
        </w:rPr>
        <w:footnoteRef/>
      </w:r>
      <w:r>
        <w:t xml:space="preserve"> </w:t>
      </w:r>
      <w:proofErr w:type="gramStart"/>
      <w:r>
        <w:t>S</w:t>
      </w:r>
      <w:r w:rsidRPr="00280290">
        <w:t>4 Child Care Act 1991</w:t>
      </w:r>
      <w:r>
        <w:t>.</w:t>
      </w:r>
      <w:proofErr w:type="gramEnd"/>
    </w:p>
  </w:footnote>
  <w:footnote w:id="97">
    <w:p w14:paraId="1A59835B" w14:textId="77777777" w:rsidR="006C1607" w:rsidRPr="00280290" w:rsidRDefault="006C1607" w:rsidP="00161059">
      <w:pPr>
        <w:pStyle w:val="FootnoteText"/>
      </w:pPr>
      <w:r w:rsidRPr="00280290">
        <w:rPr>
          <w:rStyle w:val="FootnoteReference"/>
        </w:rPr>
        <w:footnoteRef/>
      </w:r>
      <w:r>
        <w:rPr>
          <w:lang w:val="en-US"/>
        </w:rPr>
        <w:t xml:space="preserve"> </w:t>
      </w:r>
      <w:proofErr w:type="gramStart"/>
      <w:r>
        <w:rPr>
          <w:lang w:val="en-US"/>
        </w:rPr>
        <w:t>S</w:t>
      </w:r>
      <w:r w:rsidRPr="00280290">
        <w:t>12 Child Care Act 1991.</w:t>
      </w:r>
      <w:proofErr w:type="gramEnd"/>
    </w:p>
  </w:footnote>
  <w:footnote w:id="98">
    <w:p w14:paraId="77110B21" w14:textId="77777777" w:rsidR="006C1607" w:rsidRPr="00280290" w:rsidRDefault="006C1607" w:rsidP="00161059">
      <w:pPr>
        <w:pStyle w:val="FootnoteText"/>
      </w:pPr>
      <w:r w:rsidRPr="00280290">
        <w:rPr>
          <w:rStyle w:val="FootnoteReference"/>
        </w:rPr>
        <w:footnoteRef/>
      </w:r>
      <w:r>
        <w:t xml:space="preserve"> </w:t>
      </w:r>
      <w:proofErr w:type="gramStart"/>
      <w:r w:rsidRPr="00280290">
        <w:t xml:space="preserve">Jim Nestor, </w:t>
      </w:r>
      <w:r w:rsidRPr="00280290">
        <w:rPr>
          <w:i/>
        </w:rPr>
        <w:t>Law of Child Care</w:t>
      </w:r>
      <w:r w:rsidRPr="00280290">
        <w:t xml:space="preserve"> 2</w:t>
      </w:r>
      <w:r w:rsidRPr="00280290">
        <w:rPr>
          <w:vertAlign w:val="superscript"/>
        </w:rPr>
        <w:t>nd</w:t>
      </w:r>
      <w:r w:rsidRPr="00280290">
        <w:t xml:space="preserve"> ed., Blackhall Publishing, Blackrock, Ireland (2009) 156.</w:t>
      </w:r>
      <w:proofErr w:type="gramEnd"/>
    </w:p>
  </w:footnote>
  <w:footnote w:id="99">
    <w:p w14:paraId="63E4DF5B" w14:textId="77777777" w:rsidR="006C1607" w:rsidRPr="00280290" w:rsidRDefault="006C1607" w:rsidP="00161059">
      <w:pPr>
        <w:pStyle w:val="FootnoteText"/>
      </w:pPr>
      <w:r w:rsidRPr="00280290">
        <w:rPr>
          <w:rStyle w:val="FootnoteReference"/>
        </w:rPr>
        <w:footnoteRef/>
      </w:r>
      <w:r>
        <w:t xml:space="preserve"> </w:t>
      </w:r>
      <w:proofErr w:type="gramStart"/>
      <w:r>
        <w:t>S</w:t>
      </w:r>
      <w:r w:rsidRPr="00280290">
        <w:t>13 Child Care Act 1991.</w:t>
      </w:r>
      <w:proofErr w:type="gramEnd"/>
    </w:p>
  </w:footnote>
  <w:footnote w:id="100">
    <w:p w14:paraId="5E599553" w14:textId="77777777" w:rsidR="006C1607" w:rsidRPr="00280290" w:rsidRDefault="006C1607" w:rsidP="00161059">
      <w:pPr>
        <w:pStyle w:val="FootnoteText"/>
      </w:pPr>
      <w:r w:rsidRPr="00280290">
        <w:rPr>
          <w:rStyle w:val="FootnoteReference"/>
        </w:rPr>
        <w:footnoteRef/>
      </w:r>
      <w:r>
        <w:t xml:space="preserve"> </w:t>
      </w:r>
      <w:proofErr w:type="gramStart"/>
      <w:r>
        <w:t>S</w:t>
      </w:r>
      <w:r w:rsidRPr="00280290">
        <w:t>13 Child Care Act 1991.</w:t>
      </w:r>
      <w:proofErr w:type="gramEnd"/>
    </w:p>
  </w:footnote>
  <w:footnote w:id="101">
    <w:p w14:paraId="2DC2873E" w14:textId="77777777" w:rsidR="006C1607" w:rsidRPr="00280290" w:rsidRDefault="006C1607" w:rsidP="00161059">
      <w:pPr>
        <w:pStyle w:val="FootnoteText"/>
      </w:pPr>
      <w:r w:rsidRPr="00280290">
        <w:rPr>
          <w:rStyle w:val="FootnoteReference"/>
        </w:rPr>
        <w:footnoteRef/>
      </w:r>
      <w:r>
        <w:t xml:space="preserve"> </w:t>
      </w:r>
      <w:proofErr w:type="gramStart"/>
      <w:r>
        <w:t>S</w:t>
      </w:r>
      <w:r w:rsidRPr="00280290">
        <w:t>13 Child Care Act 1991.</w:t>
      </w:r>
      <w:proofErr w:type="gramEnd"/>
    </w:p>
  </w:footnote>
  <w:footnote w:id="102">
    <w:p w14:paraId="1ACB1331" w14:textId="77777777" w:rsidR="006C1607" w:rsidRPr="00280290" w:rsidRDefault="006C1607" w:rsidP="00161059">
      <w:pPr>
        <w:pStyle w:val="FootnoteText"/>
      </w:pPr>
      <w:r w:rsidRPr="00280290">
        <w:rPr>
          <w:rStyle w:val="FootnoteReference"/>
        </w:rPr>
        <w:footnoteRef/>
      </w:r>
      <w:r>
        <w:rPr>
          <w:lang w:val="en-US"/>
        </w:rPr>
        <w:t xml:space="preserve"> </w:t>
      </w:r>
      <w:proofErr w:type="gramStart"/>
      <w:r>
        <w:rPr>
          <w:lang w:val="en-US"/>
        </w:rPr>
        <w:t>S</w:t>
      </w:r>
      <w:r w:rsidRPr="00280290">
        <w:t>13 Child Care Act 1991.</w:t>
      </w:r>
      <w:proofErr w:type="gramEnd"/>
    </w:p>
  </w:footnote>
  <w:footnote w:id="103">
    <w:p w14:paraId="7BAC0515" w14:textId="77777777" w:rsidR="006C1607" w:rsidRPr="00280290" w:rsidRDefault="006C1607" w:rsidP="00161059">
      <w:pPr>
        <w:pStyle w:val="FootnoteText"/>
      </w:pPr>
      <w:r w:rsidRPr="00280290">
        <w:rPr>
          <w:rStyle w:val="FootnoteReference"/>
        </w:rPr>
        <w:footnoteRef/>
      </w:r>
      <w:r w:rsidRPr="00280290">
        <w:t xml:space="preserve"> Jim Nestor, </w:t>
      </w:r>
      <w:r w:rsidRPr="00280290">
        <w:rPr>
          <w:i/>
        </w:rPr>
        <w:t>Law of Child Care</w:t>
      </w:r>
      <w:r w:rsidRPr="00280290">
        <w:t xml:space="preserve"> 2</w:t>
      </w:r>
      <w:r w:rsidRPr="00280290">
        <w:rPr>
          <w:vertAlign w:val="superscript"/>
        </w:rPr>
        <w:t>nd</w:t>
      </w:r>
      <w:r w:rsidRPr="00280290">
        <w:t xml:space="preserve"> ed., Blackhall Publishing, Blackrock, Ireland (2009) 158: Art. 42a Constitution of Ireland. </w:t>
      </w:r>
    </w:p>
  </w:footnote>
  <w:footnote w:id="104">
    <w:p w14:paraId="114BDF02" w14:textId="77777777" w:rsidR="006C1607" w:rsidRPr="00280290" w:rsidRDefault="006C1607" w:rsidP="00161059">
      <w:pPr>
        <w:pStyle w:val="FootnoteText"/>
      </w:pPr>
      <w:r w:rsidRPr="00280290">
        <w:rPr>
          <w:rStyle w:val="FootnoteReference"/>
        </w:rPr>
        <w:footnoteRef/>
      </w:r>
      <w:r>
        <w:t xml:space="preserve"> </w:t>
      </w:r>
      <w:proofErr w:type="gramStart"/>
      <w:r w:rsidRPr="00280290">
        <w:t xml:space="preserve">Jim Nestor, </w:t>
      </w:r>
      <w:r w:rsidRPr="00280290">
        <w:rPr>
          <w:i/>
        </w:rPr>
        <w:t>Law of Child Care</w:t>
      </w:r>
      <w:r w:rsidRPr="00280290">
        <w:t xml:space="preserve"> 2</w:t>
      </w:r>
      <w:r w:rsidRPr="00280290">
        <w:rPr>
          <w:vertAlign w:val="superscript"/>
        </w:rPr>
        <w:t>nd</w:t>
      </w:r>
      <w:r w:rsidRPr="00280290">
        <w:t xml:space="preserve"> ed., Blackhall Publishing, Blackrock, Ireland (2009) 162.</w:t>
      </w:r>
      <w:proofErr w:type="gramEnd"/>
    </w:p>
  </w:footnote>
  <w:footnote w:id="105">
    <w:p w14:paraId="26B70441" w14:textId="77777777" w:rsidR="006C1607" w:rsidRPr="00280290" w:rsidRDefault="006C1607" w:rsidP="00161059">
      <w:pPr>
        <w:pStyle w:val="FootnoteText"/>
      </w:pPr>
      <w:r w:rsidRPr="00280290">
        <w:rPr>
          <w:rStyle w:val="FootnoteReference"/>
        </w:rPr>
        <w:footnoteRef/>
      </w:r>
      <w:r>
        <w:rPr>
          <w:lang w:val="en-US"/>
        </w:rPr>
        <w:t xml:space="preserve"> </w:t>
      </w:r>
      <w:proofErr w:type="gramStart"/>
      <w:r>
        <w:rPr>
          <w:lang w:val="en-US"/>
        </w:rPr>
        <w:t>S</w:t>
      </w:r>
      <w:r w:rsidRPr="00280290">
        <w:t>18 Child Care Act, 1991.</w:t>
      </w:r>
      <w:proofErr w:type="gramEnd"/>
    </w:p>
  </w:footnote>
  <w:footnote w:id="106">
    <w:p w14:paraId="562AF1C0" w14:textId="77777777" w:rsidR="006C1607" w:rsidRDefault="006C1607">
      <w:pPr>
        <w:pStyle w:val="FootnoteText"/>
      </w:pPr>
      <w:r>
        <w:rPr>
          <w:rStyle w:val="FootnoteReference"/>
        </w:rPr>
        <w:footnoteRef/>
      </w:r>
      <w:r>
        <w:t xml:space="preserve"> Prior to the Child and Family Agency Act 2013, these applications were made by the HSE, but this function now falls wihin the remit of Tusla.</w:t>
      </w:r>
    </w:p>
  </w:footnote>
  <w:footnote w:id="107">
    <w:p w14:paraId="48893F2C" w14:textId="77777777" w:rsidR="006C1607" w:rsidRPr="00280290" w:rsidRDefault="006C1607" w:rsidP="00161059">
      <w:pPr>
        <w:pStyle w:val="FootnoteText"/>
      </w:pPr>
      <w:r w:rsidRPr="00280290">
        <w:rPr>
          <w:rStyle w:val="FootnoteReference"/>
        </w:rPr>
        <w:footnoteRef/>
      </w:r>
      <w:r>
        <w:rPr>
          <w:lang w:val="en-US"/>
        </w:rPr>
        <w:t xml:space="preserve"> </w:t>
      </w:r>
      <w:proofErr w:type="gramStart"/>
      <w:r>
        <w:rPr>
          <w:lang w:val="en-US"/>
        </w:rPr>
        <w:t>S</w:t>
      </w:r>
      <w:r w:rsidRPr="00280290">
        <w:t>24</w:t>
      </w:r>
      <w:r>
        <w:rPr>
          <w:lang w:val="en-US"/>
        </w:rPr>
        <w:t>(</w:t>
      </w:r>
      <w:proofErr w:type="gramEnd"/>
      <w:r w:rsidRPr="00280290">
        <w:t>b</w:t>
      </w:r>
      <w:r>
        <w:rPr>
          <w:lang w:val="en-US"/>
        </w:rPr>
        <w:t>)</w:t>
      </w:r>
      <w:r w:rsidRPr="00280290">
        <w:t xml:space="preserve"> Children Act 2001.</w:t>
      </w:r>
    </w:p>
  </w:footnote>
  <w:footnote w:id="108">
    <w:p w14:paraId="54494E74" w14:textId="77777777" w:rsidR="006C1607" w:rsidRPr="00280290" w:rsidRDefault="006C1607" w:rsidP="00161059">
      <w:pPr>
        <w:pStyle w:val="FootnoteText"/>
      </w:pPr>
      <w:r w:rsidRPr="00280290">
        <w:rPr>
          <w:rStyle w:val="FootnoteReference"/>
        </w:rPr>
        <w:footnoteRef/>
      </w:r>
      <w:r>
        <w:t xml:space="preserve"> </w:t>
      </w:r>
      <w:proofErr w:type="gramStart"/>
      <w:r>
        <w:t>S</w:t>
      </w:r>
      <w:r w:rsidRPr="00280290">
        <w:t>23</w:t>
      </w:r>
      <w:r>
        <w:rPr>
          <w:lang w:val="en-US"/>
        </w:rPr>
        <w:t>(</w:t>
      </w:r>
      <w:proofErr w:type="gramEnd"/>
      <w:r w:rsidRPr="00280290">
        <w:t>a</w:t>
      </w:r>
      <w:r>
        <w:rPr>
          <w:lang w:val="en-US"/>
        </w:rPr>
        <w:t>)</w:t>
      </w:r>
      <w:r w:rsidRPr="00280290">
        <w:t xml:space="preserve"> Children Act 2001. </w:t>
      </w:r>
    </w:p>
  </w:footnote>
  <w:footnote w:id="109">
    <w:p w14:paraId="1B539F52" w14:textId="77777777" w:rsidR="006C1607" w:rsidRPr="00280290" w:rsidRDefault="006C1607" w:rsidP="00161059">
      <w:pPr>
        <w:pStyle w:val="FootnoteText"/>
      </w:pPr>
      <w:r w:rsidRPr="00280290">
        <w:rPr>
          <w:rStyle w:val="FootnoteReference"/>
        </w:rPr>
        <w:footnoteRef/>
      </w:r>
      <w:r>
        <w:t xml:space="preserve"> </w:t>
      </w:r>
      <w:proofErr w:type="gramStart"/>
      <w:r>
        <w:t>S</w:t>
      </w:r>
      <w:r w:rsidRPr="00280290">
        <w:t>23</w:t>
      </w:r>
      <w:r>
        <w:rPr>
          <w:lang w:val="en-US"/>
        </w:rPr>
        <w:t>(</w:t>
      </w:r>
      <w:proofErr w:type="gramEnd"/>
      <w:r w:rsidRPr="00280290">
        <w:t>b</w:t>
      </w:r>
      <w:r>
        <w:rPr>
          <w:lang w:val="en-US"/>
        </w:rPr>
        <w:t>)</w:t>
      </w:r>
      <w:r w:rsidRPr="00280290">
        <w:t xml:space="preserve"> Children Act 2001. </w:t>
      </w:r>
    </w:p>
  </w:footnote>
  <w:footnote w:id="110">
    <w:p w14:paraId="7213C4D5" w14:textId="77777777" w:rsidR="006C1607" w:rsidRPr="00280290" w:rsidRDefault="006C1607" w:rsidP="00161059">
      <w:pPr>
        <w:pStyle w:val="FootnoteText"/>
      </w:pPr>
      <w:r w:rsidRPr="00280290">
        <w:rPr>
          <w:rStyle w:val="FootnoteReference"/>
        </w:rPr>
        <w:footnoteRef/>
      </w:r>
      <w:r>
        <w:t xml:space="preserve"> </w:t>
      </w:r>
      <w:proofErr w:type="gramStart"/>
      <w:r>
        <w:t>S</w:t>
      </w:r>
      <w:r w:rsidRPr="00280290">
        <w:t>23</w:t>
      </w:r>
      <w:r>
        <w:rPr>
          <w:lang w:val="en-US"/>
        </w:rPr>
        <w:t>(</w:t>
      </w:r>
      <w:proofErr w:type="gramEnd"/>
      <w:r w:rsidRPr="00280290">
        <w:t>b</w:t>
      </w:r>
      <w:r>
        <w:rPr>
          <w:lang w:val="en-US"/>
        </w:rPr>
        <w:t>)</w:t>
      </w:r>
      <w:r w:rsidRPr="00280290">
        <w:t xml:space="preserve"> Children Act 2001. </w:t>
      </w:r>
    </w:p>
  </w:footnote>
  <w:footnote w:id="111">
    <w:p w14:paraId="7B731A7C" w14:textId="77777777" w:rsidR="00DE655D" w:rsidRPr="003737D9" w:rsidRDefault="00DE655D">
      <w:pPr>
        <w:pStyle w:val="FootnoteText"/>
      </w:pPr>
    </w:p>
  </w:footnote>
  <w:footnote w:id="112">
    <w:p w14:paraId="09CBF1AC" w14:textId="77777777" w:rsidR="006C1607" w:rsidRPr="00280290" w:rsidRDefault="006C1607" w:rsidP="001838ED">
      <w:pPr>
        <w:pStyle w:val="FootnoteText"/>
      </w:pPr>
      <w:r w:rsidRPr="00280290">
        <w:rPr>
          <w:rStyle w:val="FootnoteReference"/>
        </w:rPr>
        <w:footnoteRef/>
      </w:r>
      <w:r>
        <w:rPr>
          <w:lang w:val="en-US"/>
        </w:rPr>
        <w:t xml:space="preserve"> </w:t>
      </w:r>
      <w:proofErr w:type="gramStart"/>
      <w:r>
        <w:rPr>
          <w:lang w:val="en-US"/>
        </w:rPr>
        <w:t>S</w:t>
      </w:r>
      <w:r w:rsidRPr="00280290">
        <w:t>4 Child Care (Placement of Children in Residential Care) Regulations 1995.</w:t>
      </w:r>
      <w:proofErr w:type="gramEnd"/>
    </w:p>
  </w:footnote>
  <w:footnote w:id="113">
    <w:p w14:paraId="7003193D" w14:textId="77777777" w:rsidR="006C1607" w:rsidRPr="00280290" w:rsidRDefault="006C1607" w:rsidP="001838ED">
      <w:pPr>
        <w:pStyle w:val="FootnoteText"/>
      </w:pPr>
      <w:r w:rsidRPr="00280290">
        <w:rPr>
          <w:rStyle w:val="FootnoteReference"/>
        </w:rPr>
        <w:footnoteRef/>
      </w:r>
      <w:r>
        <w:t xml:space="preserve"> </w:t>
      </w:r>
      <w:proofErr w:type="gramStart"/>
      <w:r>
        <w:t>S</w:t>
      </w:r>
      <w:r w:rsidRPr="00280290">
        <w:t>3 Child Care Act 1991.</w:t>
      </w:r>
      <w:proofErr w:type="gramEnd"/>
    </w:p>
  </w:footnote>
  <w:footnote w:id="114">
    <w:p w14:paraId="41EC3D7C" w14:textId="77777777" w:rsidR="006C1607" w:rsidRPr="00280290" w:rsidRDefault="006C1607" w:rsidP="000E32B2">
      <w:pPr>
        <w:pStyle w:val="FootnoteText"/>
        <w:tabs>
          <w:tab w:val="left" w:pos="7088"/>
        </w:tabs>
      </w:pPr>
      <w:r w:rsidRPr="00280290">
        <w:rPr>
          <w:rStyle w:val="FootnoteReference"/>
        </w:rPr>
        <w:footnoteRef/>
      </w:r>
      <w:r>
        <w:t xml:space="preserve"> S</w:t>
      </w:r>
      <w:r w:rsidRPr="00280290">
        <w:t>6.1 HIQA Standards for Children Residential Centres.</w:t>
      </w:r>
      <w:r>
        <w:t xml:space="preserve">Available at </w:t>
      </w:r>
      <w:r w:rsidRPr="00280290">
        <w:t>&lt;http://www.hiqa.ie/system/files/Standards_children_crc_DOHC.pdf&gt;</w:t>
      </w:r>
      <w:r>
        <w:t>(</w:t>
      </w:r>
      <w:r w:rsidRPr="00280290">
        <w:t>last accessed 25 October 2013</w:t>
      </w:r>
      <w:r>
        <w:t>)</w:t>
      </w:r>
      <w:r w:rsidRPr="00280290">
        <w:t>.</w:t>
      </w:r>
    </w:p>
  </w:footnote>
  <w:footnote w:id="115">
    <w:p w14:paraId="1EFF8F7F" w14:textId="77777777" w:rsidR="006C1607" w:rsidRPr="00280290" w:rsidRDefault="006C1607" w:rsidP="001838ED">
      <w:pPr>
        <w:pStyle w:val="FootnoteText"/>
      </w:pPr>
      <w:r w:rsidRPr="00280290">
        <w:rPr>
          <w:rStyle w:val="FootnoteReference"/>
        </w:rPr>
        <w:footnoteRef/>
      </w:r>
      <w:r w:rsidRPr="00280290">
        <w:t>M</w:t>
      </w:r>
      <w:r>
        <w:t xml:space="preserve">erikeDarmody et </w:t>
      </w:r>
      <w:proofErr w:type="gramStart"/>
      <w:r>
        <w:t>al.</w:t>
      </w:r>
      <w:r w:rsidRPr="00280290">
        <w:rPr>
          <w:i/>
        </w:rPr>
        <w:t>Education</w:t>
      </w:r>
      <w:proofErr w:type="gramEnd"/>
      <w:r w:rsidRPr="00280290">
        <w:rPr>
          <w:i/>
        </w:rPr>
        <w:t xml:space="preserve"> of Children in Care in Ireland: An Exploratory </w:t>
      </w:r>
      <w:r w:rsidRPr="00280290">
        <w:t>Study, Commissioned by the Ombudsman for Children, (May 2013) 45.</w:t>
      </w:r>
    </w:p>
  </w:footnote>
  <w:footnote w:id="116">
    <w:p w14:paraId="4D30BF9F" w14:textId="77777777" w:rsidR="006C1607" w:rsidRPr="00280290" w:rsidRDefault="006C1607" w:rsidP="002140DD">
      <w:pPr>
        <w:pStyle w:val="FootnoteText"/>
      </w:pPr>
      <w:r w:rsidRPr="00280290">
        <w:rPr>
          <w:rStyle w:val="FootnoteReference"/>
        </w:rPr>
        <w:footnoteRef/>
      </w:r>
      <w:r>
        <w:rPr>
          <w:lang w:val="en-US"/>
        </w:rPr>
        <w:t xml:space="preserve"> S</w:t>
      </w:r>
      <w:r>
        <w:t>4.10, S</w:t>
      </w:r>
      <w:r w:rsidRPr="00280290">
        <w:t xml:space="preserve">4.11, </w:t>
      </w:r>
      <w:r>
        <w:rPr>
          <w:lang w:val="en-US"/>
        </w:rPr>
        <w:t>S</w:t>
      </w:r>
      <w:r>
        <w:t xml:space="preserve">4.12, S5.3, S5.4, </w:t>
      </w:r>
      <w:proofErr w:type="gramStart"/>
      <w:r>
        <w:t>S</w:t>
      </w:r>
      <w:r w:rsidRPr="00280290">
        <w:t>5.12 ,</w:t>
      </w:r>
      <w:proofErr w:type="gramEnd"/>
      <w:r w:rsidRPr="00280290">
        <w:t xml:space="preserve"> HIQA Standards for Children Residential Centres.</w:t>
      </w:r>
    </w:p>
  </w:footnote>
  <w:footnote w:id="117">
    <w:p w14:paraId="62341159" w14:textId="77777777" w:rsidR="006C1607" w:rsidRPr="00040CEA" w:rsidRDefault="006C1607" w:rsidP="002140DD">
      <w:pPr>
        <w:pStyle w:val="FootnoteText"/>
        <w:rPr>
          <w:lang w:val="en-US"/>
        </w:rPr>
      </w:pPr>
      <w:r w:rsidRPr="00280290">
        <w:rPr>
          <w:rStyle w:val="FootnoteReference"/>
        </w:rPr>
        <w:footnoteRef/>
      </w:r>
      <w:r>
        <w:t xml:space="preserve"> S</w:t>
      </w:r>
      <w:r w:rsidRPr="00280290">
        <w:t>4.11 HIQA Standards for Children in Residential Centres</w:t>
      </w:r>
      <w:r>
        <w:rPr>
          <w:lang w:val="en-US"/>
        </w:rPr>
        <w:t>.</w:t>
      </w:r>
      <w:r w:rsidRPr="0047255C">
        <w:rPr>
          <w:lang w:val="en-US"/>
        </w:rPr>
        <w:t>Available at</w:t>
      </w:r>
      <w:r w:rsidRPr="00280290">
        <w:t>&lt;http://www.hiqa.ie/system/files/Standards_children_crc_DOHC.pdf&gt;</w:t>
      </w:r>
      <w:r>
        <w:rPr>
          <w:lang w:val="en-US"/>
        </w:rPr>
        <w:t xml:space="preserve">(last </w:t>
      </w:r>
      <w:r w:rsidRPr="00280290">
        <w:t>accessed last 25 October 2013.</w:t>
      </w:r>
      <w:r>
        <w:rPr>
          <w:lang w:val="en-US"/>
        </w:rPr>
        <w:t>)</w:t>
      </w:r>
    </w:p>
  </w:footnote>
  <w:footnote w:id="118">
    <w:p w14:paraId="028A7454" w14:textId="77777777" w:rsidR="006C1607" w:rsidRPr="00040CEA" w:rsidRDefault="006C1607" w:rsidP="002140DD">
      <w:pPr>
        <w:pStyle w:val="FootnoteText"/>
        <w:rPr>
          <w:lang w:val="en-US"/>
        </w:rPr>
      </w:pPr>
      <w:r w:rsidRPr="00280290">
        <w:rPr>
          <w:rStyle w:val="FootnoteReference"/>
        </w:rPr>
        <w:footnoteRef/>
      </w:r>
      <w:r>
        <w:t xml:space="preserve"> </w:t>
      </w:r>
      <w:proofErr w:type="gramStart"/>
      <w:r>
        <w:t xml:space="preserve">S5.15 </w:t>
      </w:r>
      <w:r w:rsidRPr="00280290">
        <w:t>HIQA Standards for Children in Residential Centres</w:t>
      </w:r>
      <w:r>
        <w:rPr>
          <w:lang w:val="en-US"/>
        </w:rPr>
        <w:t>.</w:t>
      </w:r>
      <w:proofErr w:type="gramEnd"/>
      <w:r>
        <w:rPr>
          <w:lang w:val="en-US"/>
        </w:rPr>
        <w:t xml:space="preserve"> </w:t>
      </w:r>
      <w:r w:rsidRPr="0047255C">
        <w:rPr>
          <w:lang w:val="en-US"/>
        </w:rPr>
        <w:t>Available at</w:t>
      </w:r>
      <w:r>
        <w:rPr>
          <w:lang w:val="en-US"/>
        </w:rPr>
        <w:t xml:space="preserve"> </w:t>
      </w:r>
      <w:r w:rsidRPr="00280290">
        <w:t>&lt;http://www.hiqa.ie/system/files/Standards_children_crc_DOHC.pdf&gt;</w:t>
      </w:r>
      <w:r>
        <w:rPr>
          <w:lang w:val="en-US"/>
        </w:rPr>
        <w:t xml:space="preserve">(last </w:t>
      </w:r>
      <w:r w:rsidRPr="00280290">
        <w:t>accessed last 25 October 2013</w:t>
      </w:r>
      <w:r>
        <w:rPr>
          <w:lang w:val="en-US"/>
        </w:rPr>
        <w:t>)</w:t>
      </w:r>
    </w:p>
  </w:footnote>
  <w:footnote w:id="119">
    <w:p w14:paraId="149D6AB3" w14:textId="77777777" w:rsidR="006C1607" w:rsidRPr="00280290" w:rsidRDefault="006C1607" w:rsidP="002140DD">
      <w:pPr>
        <w:pStyle w:val="FootnoteText"/>
      </w:pPr>
      <w:r w:rsidRPr="00280290">
        <w:rPr>
          <w:rStyle w:val="FootnoteReference"/>
        </w:rPr>
        <w:footnoteRef/>
      </w:r>
      <w:r>
        <w:rPr>
          <w:lang w:val="en-US"/>
        </w:rPr>
        <w:t xml:space="preserve"> </w:t>
      </w:r>
      <w:proofErr w:type="gramStart"/>
      <w:r>
        <w:rPr>
          <w:lang w:val="en-US"/>
        </w:rPr>
        <w:t>S</w:t>
      </w:r>
      <w:r w:rsidRPr="00280290">
        <w:t>5.3 HIQA Standards for Children Residential Centres.</w:t>
      </w:r>
      <w:proofErr w:type="gramEnd"/>
      <w:r>
        <w:t xml:space="preserve"> </w:t>
      </w:r>
      <w:proofErr w:type="gramStart"/>
      <w:r>
        <w:t xml:space="preserve">Available at </w:t>
      </w:r>
      <w:r w:rsidRPr="00280290">
        <w:t>&lt;http://www.hiqa.ie/system/files/Standards_children_crc_DOHC.pdf&gt;</w:t>
      </w:r>
      <w:r>
        <w:t>(</w:t>
      </w:r>
      <w:r w:rsidRPr="00280290">
        <w:t>last accessed 25 October 2013</w:t>
      </w:r>
      <w:r>
        <w:t>)</w:t>
      </w:r>
      <w:r w:rsidRPr="00280290">
        <w:t>.</w:t>
      </w:r>
      <w:proofErr w:type="gramEnd"/>
    </w:p>
  </w:footnote>
  <w:footnote w:id="120">
    <w:p w14:paraId="761300A3" w14:textId="77777777" w:rsidR="006C1607" w:rsidRPr="00280290" w:rsidRDefault="006C1607" w:rsidP="002140DD">
      <w:pPr>
        <w:pStyle w:val="FootnoteText"/>
      </w:pPr>
      <w:r w:rsidRPr="00280290">
        <w:rPr>
          <w:rStyle w:val="FootnoteReference"/>
        </w:rPr>
        <w:footnoteRef/>
      </w:r>
      <w:r>
        <w:t xml:space="preserve"> </w:t>
      </w:r>
      <w:proofErr w:type="gramStart"/>
      <w:r>
        <w:t>S</w:t>
      </w:r>
      <w:r w:rsidRPr="00280290">
        <w:t>5.4 HIQA Standards for Children Residential Centres.</w:t>
      </w:r>
      <w:proofErr w:type="gramEnd"/>
      <w:r>
        <w:t xml:space="preserve"> </w:t>
      </w:r>
      <w:proofErr w:type="gramStart"/>
      <w:r>
        <w:t xml:space="preserve">Available at </w:t>
      </w:r>
      <w:r w:rsidRPr="00280290">
        <w:t>&lt;http://www.hiqa.ie/system/files/Standards_children_crc_DOHC.pdf&gt;</w:t>
      </w:r>
      <w:r>
        <w:t>(</w:t>
      </w:r>
      <w:r w:rsidRPr="00280290">
        <w:t>last accessed 25 October 2013</w:t>
      </w:r>
      <w:r>
        <w:t>)</w:t>
      </w:r>
      <w:r w:rsidRPr="00280290">
        <w:t>.</w:t>
      </w:r>
      <w:proofErr w:type="gramEnd"/>
    </w:p>
  </w:footnote>
  <w:footnote w:id="121">
    <w:p w14:paraId="520C531E" w14:textId="77777777" w:rsidR="006C1607" w:rsidRPr="00280290" w:rsidRDefault="006C1607" w:rsidP="002140DD">
      <w:pPr>
        <w:pStyle w:val="FootnoteText"/>
      </w:pPr>
      <w:r w:rsidRPr="00280290">
        <w:rPr>
          <w:rStyle w:val="FootnoteReference"/>
        </w:rPr>
        <w:footnoteRef/>
      </w:r>
      <w:r>
        <w:t xml:space="preserve"> </w:t>
      </w:r>
      <w:proofErr w:type="gramStart"/>
      <w:r w:rsidRPr="00280290">
        <w:t>S5.12 HIQA Standards for Children Residential Centres.</w:t>
      </w:r>
      <w:proofErr w:type="gramEnd"/>
      <w:r>
        <w:t xml:space="preserve"> Available at </w:t>
      </w:r>
      <w:r w:rsidRPr="00280290">
        <w:t>&lt;http://www.hiqa.ie/system/files/Standards_children_crc_DOHC.pdf&gt; last accessed 25 October 2013.</w:t>
      </w:r>
    </w:p>
  </w:footnote>
  <w:footnote w:id="122">
    <w:p w14:paraId="3DDD80F0" w14:textId="77777777" w:rsidR="006C1607" w:rsidRPr="00280290" w:rsidRDefault="006C1607" w:rsidP="002140DD">
      <w:pPr>
        <w:pStyle w:val="FootnoteText"/>
      </w:pPr>
      <w:r w:rsidRPr="00280290">
        <w:rPr>
          <w:rStyle w:val="FootnoteReference"/>
        </w:rPr>
        <w:footnoteRef/>
      </w:r>
      <w:r>
        <w:t xml:space="preserve"> </w:t>
      </w:r>
      <w:proofErr w:type="gramStart"/>
      <w:r w:rsidRPr="00280290">
        <w:t xml:space="preserve">Health Information and Quality Authority, Standards, </w:t>
      </w:r>
      <w:r w:rsidRPr="00280290">
        <w:rPr>
          <w:i/>
        </w:rPr>
        <w:t>Social Care- Children and Young People</w:t>
      </w:r>
      <w:r>
        <w:t>, &lt;</w:t>
      </w:r>
      <w:r w:rsidRPr="00280290">
        <w:t>http://www.hiqa.ie/children-and-young-people#crc&gt;</w:t>
      </w:r>
      <w:r>
        <w:t>(</w:t>
      </w:r>
      <w:r w:rsidRPr="00280290">
        <w:t>last accessed 25 October 2013</w:t>
      </w:r>
      <w:r>
        <w:t>)</w:t>
      </w:r>
      <w:r w:rsidRPr="00280290">
        <w:t>.</w:t>
      </w:r>
      <w:proofErr w:type="gramEnd"/>
    </w:p>
  </w:footnote>
  <w:footnote w:id="123">
    <w:p w14:paraId="75A84543" w14:textId="77777777" w:rsidR="006C1607" w:rsidRPr="00280290" w:rsidRDefault="006C1607" w:rsidP="002140DD">
      <w:pPr>
        <w:pStyle w:val="FootnoteText"/>
      </w:pPr>
      <w:r w:rsidRPr="00280290">
        <w:rPr>
          <w:rStyle w:val="FootnoteReference"/>
        </w:rPr>
        <w:footnoteRef/>
      </w:r>
      <w:r w:rsidRPr="00280290">
        <w:t xml:space="preserve"> Interview with care proceedings expert conducted by Eiliono</w:t>
      </w:r>
      <w:r>
        <w:t xml:space="preserve">ir Flynn and Jenni </w:t>
      </w:r>
      <w:r w:rsidRPr="00280290">
        <w:t>Kline on 7 February 2014.</w:t>
      </w:r>
      <w:r>
        <w:t xml:space="preserve"> </w:t>
      </w:r>
    </w:p>
  </w:footnote>
  <w:footnote w:id="124">
    <w:p w14:paraId="5375FF85" w14:textId="77777777" w:rsidR="006C1607" w:rsidRDefault="006C1607">
      <w:pPr>
        <w:pStyle w:val="FootnoteText"/>
      </w:pPr>
      <w:r>
        <w:rPr>
          <w:rStyle w:val="FootnoteReference"/>
        </w:rPr>
        <w:footnoteRef/>
      </w:r>
      <w:r>
        <w:t xml:space="preserve"> </w:t>
      </w:r>
      <w:proofErr w:type="gramStart"/>
      <w:r>
        <w:t>S25, Child Care Act 1991.</w:t>
      </w:r>
      <w:proofErr w:type="gramEnd"/>
    </w:p>
  </w:footnote>
  <w:footnote w:id="125">
    <w:p w14:paraId="70D8659C" w14:textId="77777777" w:rsidR="006C1607" w:rsidRPr="00280290" w:rsidRDefault="006C1607" w:rsidP="002140DD">
      <w:pPr>
        <w:pStyle w:val="FootnoteText"/>
      </w:pPr>
      <w:r w:rsidRPr="00280290">
        <w:rPr>
          <w:rStyle w:val="FootnoteReference"/>
        </w:rPr>
        <w:footnoteRef/>
      </w:r>
      <w:r w:rsidRPr="00280290">
        <w:t xml:space="preserve"> Interview with Parent 2 conducted by Jenni Kline on 27 February 2014.</w:t>
      </w:r>
      <w:r>
        <w:t xml:space="preserve"> This is because the UK has a dualist system where both a solicitor and a guardian ad litem can be appointed together. That is not the case in Ireland.</w:t>
      </w:r>
    </w:p>
  </w:footnote>
  <w:footnote w:id="126">
    <w:p w14:paraId="38BEF8C6" w14:textId="77777777" w:rsidR="006C1607" w:rsidRPr="00280290" w:rsidRDefault="006C1607" w:rsidP="00AC5E18">
      <w:pPr>
        <w:pStyle w:val="FootnoteText"/>
      </w:pPr>
      <w:r w:rsidRPr="00280290">
        <w:rPr>
          <w:rStyle w:val="FootnoteReference"/>
        </w:rPr>
        <w:footnoteRef/>
      </w:r>
      <w:r>
        <w:rPr>
          <w:lang w:val="en-US"/>
        </w:rPr>
        <w:t xml:space="preserve"> </w:t>
      </w:r>
      <w:proofErr w:type="gramStart"/>
      <w:r>
        <w:rPr>
          <w:lang w:val="en-US"/>
        </w:rPr>
        <w:t>S</w:t>
      </w:r>
      <w:r w:rsidRPr="00280290">
        <w:t>26 Child Care Act 1991.</w:t>
      </w:r>
      <w:proofErr w:type="gramEnd"/>
    </w:p>
  </w:footnote>
  <w:footnote w:id="127">
    <w:p w14:paraId="115A9B60" w14:textId="77777777" w:rsidR="006C1607" w:rsidRPr="00280290" w:rsidRDefault="006C1607" w:rsidP="00AC5E18">
      <w:pPr>
        <w:pStyle w:val="FootnoteText"/>
      </w:pPr>
      <w:r w:rsidRPr="00280290">
        <w:rPr>
          <w:rStyle w:val="FootnoteReference"/>
        </w:rPr>
        <w:footnoteRef/>
      </w:r>
      <w:r>
        <w:t xml:space="preserve"> </w:t>
      </w:r>
      <w:proofErr w:type="gramStart"/>
      <w:r>
        <w:t>S</w:t>
      </w:r>
      <w:r w:rsidRPr="00280290">
        <w:t>28 Children’s Act 1997.</w:t>
      </w:r>
      <w:proofErr w:type="gramEnd"/>
      <w:r>
        <w:t xml:space="preserve"> It was proposed that this be amended in the Children and Family Relationships Act 2015, but from the version of the Act passed by the Seanad, available at the time of writing, this amendment does not appear to have been included in the final text of the Act.</w:t>
      </w:r>
    </w:p>
  </w:footnote>
  <w:footnote w:id="128">
    <w:p w14:paraId="5C076460" w14:textId="77777777" w:rsidR="006C1607" w:rsidRPr="00280290" w:rsidRDefault="006C1607" w:rsidP="00AC5E18">
      <w:pPr>
        <w:pStyle w:val="FootnoteText"/>
      </w:pPr>
      <w:r w:rsidRPr="00280290">
        <w:rPr>
          <w:rStyle w:val="FootnoteReference"/>
        </w:rPr>
        <w:footnoteRef/>
      </w:r>
      <w:r>
        <w:t xml:space="preserve"> </w:t>
      </w:r>
      <w:proofErr w:type="gramStart"/>
      <w:r>
        <w:t>S</w:t>
      </w:r>
      <w:r w:rsidRPr="00280290">
        <w:t>26 Child Care Act 1991.</w:t>
      </w:r>
      <w:proofErr w:type="gramEnd"/>
    </w:p>
  </w:footnote>
  <w:footnote w:id="129">
    <w:p w14:paraId="22A2A10D" w14:textId="77777777" w:rsidR="006C1607" w:rsidRPr="00280290" w:rsidRDefault="006C1607" w:rsidP="00AC5E18">
      <w:pPr>
        <w:pStyle w:val="FootnoteText"/>
      </w:pPr>
      <w:r w:rsidRPr="00280290">
        <w:rPr>
          <w:rStyle w:val="FootnoteReference"/>
        </w:rPr>
        <w:footnoteRef/>
      </w:r>
      <w:r>
        <w:t xml:space="preserve"> </w:t>
      </w:r>
      <w:proofErr w:type="gramStart"/>
      <w:r>
        <w:t>S</w:t>
      </w:r>
      <w:r w:rsidRPr="00280290">
        <w:t>16 Children Act 2001.</w:t>
      </w:r>
      <w:proofErr w:type="gramEnd"/>
    </w:p>
  </w:footnote>
  <w:footnote w:id="130">
    <w:p w14:paraId="540931F5" w14:textId="77777777" w:rsidR="006C1607" w:rsidRPr="00280290" w:rsidRDefault="006C1607" w:rsidP="00AC5E18">
      <w:pPr>
        <w:pStyle w:val="FootnoteText"/>
      </w:pPr>
      <w:r w:rsidRPr="00280290">
        <w:rPr>
          <w:rStyle w:val="FootnoteReference"/>
        </w:rPr>
        <w:footnoteRef/>
      </w:r>
      <w:r>
        <w:t xml:space="preserve"> </w:t>
      </w:r>
      <w:proofErr w:type="gramStart"/>
      <w:r w:rsidRPr="00280290">
        <w:t>District Order No. 7 (S.I. 93/97).</w:t>
      </w:r>
      <w:proofErr w:type="gramEnd"/>
    </w:p>
  </w:footnote>
  <w:footnote w:id="131">
    <w:p w14:paraId="7FCE73B8" w14:textId="77777777" w:rsidR="006C1607" w:rsidRPr="00280290" w:rsidRDefault="006C1607" w:rsidP="00AC5E18">
      <w:pPr>
        <w:pStyle w:val="FootnoteText"/>
      </w:pPr>
      <w:r w:rsidRPr="00280290">
        <w:rPr>
          <w:rStyle w:val="FootnoteReference"/>
        </w:rPr>
        <w:footnoteRef/>
      </w:r>
      <w:r>
        <w:t xml:space="preserve"> </w:t>
      </w:r>
      <w:proofErr w:type="gramStart"/>
      <w:r w:rsidRPr="00280290">
        <w:t xml:space="preserve">Capita Consulting Ireland, </w:t>
      </w:r>
      <w:r w:rsidRPr="00280290">
        <w:rPr>
          <w:i/>
        </w:rPr>
        <w:t xml:space="preserve">Review of Guardian Ad Litem Service, </w:t>
      </w:r>
      <w:r w:rsidRPr="00280290">
        <w:t>(2 March 2004) 34.</w:t>
      </w:r>
      <w:proofErr w:type="gramEnd"/>
    </w:p>
  </w:footnote>
  <w:footnote w:id="132">
    <w:p w14:paraId="2E3A5361" w14:textId="77777777" w:rsidR="006C1607" w:rsidRPr="00280290" w:rsidRDefault="006C1607" w:rsidP="00AC5E18">
      <w:pPr>
        <w:pStyle w:val="FootnoteText"/>
      </w:pPr>
      <w:r w:rsidRPr="00280290">
        <w:rPr>
          <w:rStyle w:val="FootnoteReference"/>
        </w:rPr>
        <w:footnoteRef/>
      </w:r>
      <w:r>
        <w:rPr>
          <w:lang w:val="en-US"/>
        </w:rPr>
        <w:t xml:space="preserve"> </w:t>
      </w:r>
      <w:proofErr w:type="gramStart"/>
      <w:r>
        <w:rPr>
          <w:lang w:val="en-US"/>
        </w:rPr>
        <w:t>S</w:t>
      </w:r>
      <w:r w:rsidRPr="00280290">
        <w:t>1.2.1(</w:t>
      </w:r>
      <w:proofErr w:type="gramEnd"/>
      <w:r w:rsidRPr="00280290">
        <w:t xml:space="preserve">d), </w:t>
      </w:r>
      <w:r>
        <w:rPr>
          <w:lang w:val="en-US"/>
        </w:rPr>
        <w:t>S</w:t>
      </w:r>
      <w:r w:rsidRPr="00280290">
        <w:t xml:space="preserve">1.2.5, Children Acts Advisory Board, </w:t>
      </w:r>
      <w:r w:rsidRPr="00280290">
        <w:rPr>
          <w:i/>
        </w:rPr>
        <w:t xml:space="preserve">Giving a voice to children’s wishes, feelings and interests: guidance on the role, criteria for appointment, qualifications and training of guardians ad litem appointed for children in Proceedings under the Child Care Act, 1991 </w:t>
      </w:r>
      <w:r w:rsidRPr="00280290">
        <w:t>(May 2009) 3.</w:t>
      </w:r>
    </w:p>
  </w:footnote>
  <w:footnote w:id="133">
    <w:p w14:paraId="0E9D7BB2" w14:textId="77777777" w:rsidR="006C1607" w:rsidRPr="00280290" w:rsidRDefault="006C1607" w:rsidP="00AC5E18">
      <w:pPr>
        <w:pStyle w:val="FootnoteText"/>
      </w:pPr>
      <w:r w:rsidRPr="00280290">
        <w:rPr>
          <w:rStyle w:val="FootnoteReference"/>
        </w:rPr>
        <w:footnoteRef/>
      </w:r>
      <w:r>
        <w:t xml:space="preserve"> </w:t>
      </w:r>
      <w:proofErr w:type="gramStart"/>
      <w:r>
        <w:t>S</w:t>
      </w:r>
      <w:r w:rsidRPr="00280290">
        <w:t>1.2.4(</w:t>
      </w:r>
      <w:proofErr w:type="gramEnd"/>
      <w:r w:rsidRPr="00280290">
        <w:t xml:space="preserve">f) Children Acts Advisory Board, </w:t>
      </w:r>
      <w:r w:rsidRPr="00280290">
        <w:rPr>
          <w:i/>
        </w:rPr>
        <w:t xml:space="preserve">Giving a voice to children’s wishes, feelings and interests: guidance on the role, criteria for appointment, qualifications and training of guardians ad litem appointed for children in Proceedings under the Child Care Act, 1991 </w:t>
      </w:r>
      <w:r w:rsidRPr="00280290">
        <w:t>(May 2009) 4.</w:t>
      </w:r>
    </w:p>
  </w:footnote>
  <w:footnote w:id="134">
    <w:p w14:paraId="4A9F0BC5" w14:textId="77777777" w:rsidR="006C1607" w:rsidRPr="00280290" w:rsidRDefault="006C1607" w:rsidP="00AC5E18">
      <w:pPr>
        <w:pStyle w:val="FootnoteText"/>
      </w:pPr>
      <w:r w:rsidRPr="00280290">
        <w:rPr>
          <w:rStyle w:val="FootnoteReference"/>
        </w:rPr>
        <w:footnoteRef/>
      </w:r>
      <w:r>
        <w:t xml:space="preserve"> S</w:t>
      </w:r>
      <w:r w:rsidRPr="00280290">
        <w:t xml:space="preserve">1.4 Children Acts Advisory Board, </w:t>
      </w:r>
      <w:r w:rsidRPr="00280290">
        <w:rPr>
          <w:i/>
        </w:rPr>
        <w:t xml:space="preserve">Giving a voice to children’s wishes, feelings and interests: guidance on the role, criteria for appointment, qualifications and training of guardians ad litem appointed for children in Proceedings under the Child Care Act, 1991 </w:t>
      </w:r>
      <w:r w:rsidRPr="00280290">
        <w:t>(May 2009) 7.</w:t>
      </w:r>
    </w:p>
  </w:footnote>
  <w:footnote w:id="135">
    <w:p w14:paraId="52934F92" w14:textId="77777777" w:rsidR="006C1607" w:rsidRPr="00280290" w:rsidRDefault="006C1607" w:rsidP="00AC5E18">
      <w:pPr>
        <w:pStyle w:val="FootnoteText"/>
      </w:pPr>
      <w:r w:rsidRPr="00280290">
        <w:rPr>
          <w:rStyle w:val="FootnoteReference"/>
        </w:rPr>
        <w:footnoteRef/>
      </w:r>
      <w:r>
        <w:t xml:space="preserve"> S</w:t>
      </w:r>
      <w:r w:rsidRPr="00280290">
        <w:t xml:space="preserve">2.4.3 Children Acts Advisory Board, </w:t>
      </w:r>
      <w:r w:rsidRPr="00280290">
        <w:rPr>
          <w:i/>
        </w:rPr>
        <w:t xml:space="preserve">Giving a voice to children’s wishes, feelings and interests: guidance on the role, criteria for appointment, qualifications and training of guardians ad litem appointed for children in Proceedings under the Child Care Act, 1991 </w:t>
      </w:r>
      <w:r w:rsidRPr="00280290">
        <w:t>(May 2009) 10.</w:t>
      </w:r>
    </w:p>
  </w:footnote>
  <w:footnote w:id="136">
    <w:p w14:paraId="7860670E" w14:textId="77777777" w:rsidR="006C1607" w:rsidRPr="00280290" w:rsidRDefault="006C1607" w:rsidP="00AC5E18">
      <w:pPr>
        <w:pStyle w:val="FootnoteText"/>
      </w:pPr>
      <w:r w:rsidRPr="00280290">
        <w:rPr>
          <w:rStyle w:val="FootnoteReference"/>
        </w:rPr>
        <w:footnoteRef/>
      </w:r>
      <w:r>
        <w:t xml:space="preserve"> S</w:t>
      </w:r>
      <w:r w:rsidRPr="00280290">
        <w:t xml:space="preserve">3.2.2 Children Acts Advisory Board, </w:t>
      </w:r>
      <w:r w:rsidRPr="00280290">
        <w:rPr>
          <w:i/>
        </w:rPr>
        <w:t xml:space="preserve">Giving a voice to children’s wishes, feelings and interests: guidance on the role, criteria for appointment, qualifications and training of guardians ad litem appointed for children in Proceedings under the Child Care Act, 1991 </w:t>
      </w:r>
      <w:r w:rsidRPr="00280290">
        <w:t>(May 2009) 12.</w:t>
      </w:r>
    </w:p>
  </w:footnote>
  <w:footnote w:id="137">
    <w:p w14:paraId="255E8E2E" w14:textId="77777777" w:rsidR="006C1607" w:rsidRPr="00280290" w:rsidRDefault="006C1607" w:rsidP="00AC5E18">
      <w:pPr>
        <w:pStyle w:val="FootnoteText"/>
        <w:contextualSpacing/>
      </w:pPr>
      <w:r w:rsidRPr="00280290">
        <w:rPr>
          <w:rStyle w:val="FootnoteReference"/>
        </w:rPr>
        <w:footnoteRef/>
      </w:r>
      <w:r>
        <w:t xml:space="preserve"> Laura Lundy et al</w:t>
      </w:r>
      <w:r w:rsidRPr="00280290">
        <w:t xml:space="preserve">. </w:t>
      </w:r>
      <w:r w:rsidRPr="00280290">
        <w:rPr>
          <w:i/>
          <w:iCs/>
        </w:rPr>
        <w:t>The UN Convention on the Rights of the Child: a study of legal implementation in 12 countries</w:t>
      </w:r>
      <w:r w:rsidRPr="00280290">
        <w:t xml:space="preserve"> (2012</w:t>
      </w:r>
      <w:r>
        <w:t xml:space="preserve">) </w:t>
      </w:r>
      <w:r w:rsidRPr="00280290">
        <w:t>UNICEF and Queen’s University Belfast.</w:t>
      </w:r>
    </w:p>
  </w:footnote>
  <w:footnote w:id="138">
    <w:p w14:paraId="37814B8F" w14:textId="77777777" w:rsidR="006C1607" w:rsidRPr="00280290" w:rsidRDefault="006C1607" w:rsidP="00AC5E18">
      <w:pPr>
        <w:pStyle w:val="FootnoteText"/>
      </w:pPr>
      <w:r w:rsidRPr="00280290">
        <w:rPr>
          <w:rStyle w:val="FootnoteReference"/>
        </w:rPr>
        <w:footnoteRef/>
      </w:r>
      <w:r w:rsidRPr="00280290">
        <w:t xml:space="preserve"> Ursula Kilkelly, </w:t>
      </w:r>
      <w:r w:rsidRPr="00280290">
        <w:rPr>
          <w:i/>
        </w:rPr>
        <w:t xml:space="preserve">Barriers to the Realisation of Children’s Rights in Ireland, </w:t>
      </w:r>
      <w:r w:rsidRPr="00280290">
        <w:t>Commissioned by the Ombudsman for Children, (2007) 114.</w:t>
      </w:r>
    </w:p>
  </w:footnote>
  <w:footnote w:id="139">
    <w:p w14:paraId="763C8669" w14:textId="77777777" w:rsidR="006C1607" w:rsidRPr="00280290" w:rsidRDefault="006C1607" w:rsidP="00AC5E18">
      <w:pPr>
        <w:pStyle w:val="FootnoteText"/>
      </w:pPr>
      <w:r w:rsidRPr="00280290">
        <w:rPr>
          <w:rStyle w:val="FootnoteReference"/>
        </w:rPr>
        <w:footnoteRef/>
      </w:r>
      <w:r w:rsidRPr="00280290">
        <w:t xml:space="preserve"> Ursula Kilkelly, </w:t>
      </w:r>
      <w:r w:rsidRPr="00280290">
        <w:rPr>
          <w:i/>
        </w:rPr>
        <w:t xml:space="preserve">Barriers to the Realisation of Children’s Rights in Ireland, </w:t>
      </w:r>
      <w:r w:rsidRPr="00280290">
        <w:t>Commissioned by the Ombudsman for Children, (2007) 143</w:t>
      </w:r>
    </w:p>
  </w:footnote>
  <w:footnote w:id="140">
    <w:p w14:paraId="0AFD65B4" w14:textId="77777777" w:rsidR="006C1607" w:rsidRPr="00280290" w:rsidRDefault="006C1607" w:rsidP="00AC5E18">
      <w:pPr>
        <w:pStyle w:val="FootnoteText"/>
      </w:pPr>
      <w:r w:rsidRPr="00280290">
        <w:rPr>
          <w:rStyle w:val="FootnoteReference"/>
        </w:rPr>
        <w:footnoteRef/>
      </w:r>
      <w:proofErr w:type="gramStart"/>
      <w:r w:rsidRPr="00280290">
        <w:t xml:space="preserve">Capita Consulting Ireland, </w:t>
      </w:r>
      <w:r w:rsidRPr="00280290">
        <w:rPr>
          <w:i/>
        </w:rPr>
        <w:t xml:space="preserve">Review of Guardian Ad Litem Service, </w:t>
      </w:r>
      <w:r w:rsidRPr="00280290">
        <w:t>(2 March 2004) 40.</w:t>
      </w:r>
      <w:proofErr w:type="gramEnd"/>
    </w:p>
  </w:footnote>
  <w:footnote w:id="141">
    <w:p w14:paraId="36337219" w14:textId="77777777" w:rsidR="006C1607" w:rsidRPr="00280290" w:rsidRDefault="006C1607" w:rsidP="00AC5E18">
      <w:pPr>
        <w:pStyle w:val="FootnoteText"/>
      </w:pPr>
      <w:r w:rsidRPr="00280290">
        <w:rPr>
          <w:rStyle w:val="FootnoteReference"/>
        </w:rPr>
        <w:footnoteRef/>
      </w:r>
      <w:proofErr w:type="gramStart"/>
      <w:r w:rsidRPr="00280290">
        <w:t xml:space="preserve">Capita Consulting Ireland, </w:t>
      </w:r>
      <w:r w:rsidRPr="00280290">
        <w:rPr>
          <w:i/>
        </w:rPr>
        <w:t xml:space="preserve">Review of Guardian Ad Litem Service, </w:t>
      </w:r>
      <w:r w:rsidRPr="00280290">
        <w:t>(2 March 2004) 42.</w:t>
      </w:r>
      <w:proofErr w:type="gramEnd"/>
    </w:p>
  </w:footnote>
  <w:footnote w:id="142">
    <w:p w14:paraId="6EACFC66" w14:textId="77777777" w:rsidR="006C1607" w:rsidRPr="00280290" w:rsidRDefault="006C1607" w:rsidP="00AC5E18">
      <w:pPr>
        <w:pStyle w:val="FootnoteText"/>
      </w:pPr>
      <w:r w:rsidRPr="00280290">
        <w:rPr>
          <w:rStyle w:val="FootnoteReference"/>
        </w:rPr>
        <w:footnoteRef/>
      </w:r>
      <w:r w:rsidRPr="00280290">
        <w:t xml:space="preserve"> Ann McWilliams and </w:t>
      </w:r>
      <w:r>
        <w:t>Claire Hamilton, ‘There isn’t a</w:t>
      </w:r>
      <w:r w:rsidRPr="00280290">
        <w:t>nything like a GAL’-The Guardia</w:t>
      </w:r>
      <w:r>
        <w:t xml:space="preserve">n ad litem Service in Ireland’ (2010) </w:t>
      </w:r>
      <w:r w:rsidRPr="0047255C">
        <w:rPr>
          <w:i/>
        </w:rPr>
        <w:t>Irish Journal of Applied Social Studies</w:t>
      </w:r>
      <w:r w:rsidRPr="00280290">
        <w:t xml:space="preserve"> 31,32.</w:t>
      </w:r>
    </w:p>
  </w:footnote>
  <w:footnote w:id="143">
    <w:p w14:paraId="7D5BD4A7" w14:textId="77777777" w:rsidR="006C1607" w:rsidRPr="00280290" w:rsidRDefault="006C1607" w:rsidP="00AC5E18">
      <w:pPr>
        <w:pStyle w:val="FootnoteText"/>
      </w:pPr>
      <w:r w:rsidRPr="00280290">
        <w:rPr>
          <w:rStyle w:val="FootnoteReference"/>
        </w:rPr>
        <w:footnoteRef/>
      </w:r>
      <w:r w:rsidRPr="00280290">
        <w:t xml:space="preserve"> Committee on the Rights of the Child, </w:t>
      </w:r>
      <w:r w:rsidRPr="00280290">
        <w:rPr>
          <w:i/>
        </w:rPr>
        <w:t xml:space="preserve">Concluding observations: Ireland, </w:t>
      </w:r>
      <w:r w:rsidRPr="00280290">
        <w:t>CRC/C/IRL/CO/2 (29 September 2006). Available at: &lt;http://daccess-dds-ny.un.org/doc/UNDOC/GEN/G06/450/74/PDF/G0645074.pdf</w:t>
      </w:r>
      <w:proofErr w:type="gramStart"/>
      <w:r w:rsidRPr="00280290">
        <w:t>?OpenElement</w:t>
      </w:r>
      <w:proofErr w:type="gramEnd"/>
      <w:r w:rsidRPr="00280290">
        <w:t>&gt;</w:t>
      </w:r>
      <w:r>
        <w:t xml:space="preserve">(last </w:t>
      </w:r>
      <w:r w:rsidRPr="00280290">
        <w:t>accessed 13 November 2013</w:t>
      </w:r>
      <w:r>
        <w:t>)</w:t>
      </w:r>
      <w:r w:rsidRPr="00280290">
        <w:t>.</w:t>
      </w:r>
    </w:p>
  </w:footnote>
  <w:footnote w:id="144">
    <w:p w14:paraId="46FA17C2" w14:textId="77777777" w:rsidR="006C1607" w:rsidRPr="00280290" w:rsidRDefault="006C1607" w:rsidP="00AC5E18">
      <w:pPr>
        <w:pStyle w:val="FootnoteText"/>
      </w:pPr>
      <w:r w:rsidRPr="00280290">
        <w:rPr>
          <w:rStyle w:val="FootnoteReference"/>
        </w:rPr>
        <w:footnoteRef/>
      </w:r>
      <w:r w:rsidRPr="00280290">
        <w:t xml:space="preserve">Carol Coulter, </w:t>
      </w:r>
      <w:r w:rsidRPr="00280290">
        <w:rPr>
          <w:i/>
        </w:rPr>
        <w:t>Interim Report- Child Care Law Reporting Project</w:t>
      </w:r>
      <w:r w:rsidRPr="00280290">
        <w:t xml:space="preserve"> (November 2013) 14.Available at &lt;http://www.childlawproject.ie/wp-content/uploads/2013/11/correctedinterimreport.pdf&gt;</w:t>
      </w:r>
      <w:r>
        <w:t xml:space="preserve">(last </w:t>
      </w:r>
      <w:r w:rsidRPr="00280290">
        <w:t>accessed 21 March 2014</w:t>
      </w:r>
      <w:r>
        <w:t>)</w:t>
      </w:r>
      <w:r w:rsidRPr="00280290">
        <w:t>.</w:t>
      </w:r>
    </w:p>
  </w:footnote>
  <w:footnote w:id="145">
    <w:p w14:paraId="036E4885" w14:textId="77777777" w:rsidR="006C1607" w:rsidRPr="00280290" w:rsidRDefault="006C1607" w:rsidP="00AC5E18">
      <w:pPr>
        <w:pStyle w:val="FootnoteText"/>
      </w:pPr>
      <w:r w:rsidRPr="00280290">
        <w:rPr>
          <w:rStyle w:val="FootnoteReference"/>
        </w:rPr>
        <w:footnoteRef/>
      </w:r>
      <w:r w:rsidRPr="00280290">
        <w:t xml:space="preserve"> Interview with Dublin barrister conducted by Jenni Kline on 14 March 2014. </w:t>
      </w:r>
    </w:p>
  </w:footnote>
  <w:footnote w:id="146">
    <w:p w14:paraId="38E0BE07" w14:textId="77777777" w:rsidR="006C1607" w:rsidRPr="00280290" w:rsidRDefault="006C1607" w:rsidP="00AC5E18">
      <w:pPr>
        <w:pStyle w:val="FootnoteText"/>
      </w:pPr>
      <w:r w:rsidRPr="00280290">
        <w:rPr>
          <w:rStyle w:val="FootnoteReference"/>
        </w:rPr>
        <w:footnoteRef/>
      </w:r>
      <w:r>
        <w:t xml:space="preserve"> Nicola Carr ‘</w:t>
      </w:r>
      <w:r w:rsidRPr="0047255C">
        <w:t xml:space="preserve">Guiding the GALs: A Case of Hesitant Policy-making in the Republic of Ireland’ </w:t>
      </w:r>
      <w:r w:rsidRPr="00280290">
        <w:t xml:space="preserve">3 </w:t>
      </w:r>
      <w:r w:rsidRPr="0047255C">
        <w:rPr>
          <w:i/>
        </w:rPr>
        <w:t>Irish Journal of Family Law</w:t>
      </w:r>
      <w:r w:rsidRPr="00280290">
        <w:t xml:space="preserve"> (2009) 60-71. </w:t>
      </w:r>
    </w:p>
  </w:footnote>
  <w:footnote w:id="147">
    <w:p w14:paraId="20E6F6B9" w14:textId="77777777" w:rsidR="006C1607" w:rsidRPr="00280290" w:rsidRDefault="006C1607" w:rsidP="00AC5E18">
      <w:pPr>
        <w:pStyle w:val="FootnoteText"/>
      </w:pPr>
      <w:r w:rsidRPr="00280290">
        <w:rPr>
          <w:rStyle w:val="FootnoteReference"/>
        </w:rPr>
        <w:footnoteRef/>
      </w:r>
      <w:r>
        <w:t xml:space="preserve"> </w:t>
      </w:r>
      <w:proofErr w:type="gramStart"/>
      <w:r w:rsidRPr="00280290">
        <w:t xml:space="preserve">Carol Coulter, </w:t>
      </w:r>
      <w:r w:rsidRPr="00280290">
        <w:rPr>
          <w:i/>
        </w:rPr>
        <w:t>Interim Report- Child Care Law Reporting Project</w:t>
      </w:r>
      <w:r w:rsidRPr="00280290">
        <w:t xml:space="preserve"> (November 2013) 15.47-48.</w:t>
      </w:r>
      <w:proofErr w:type="gramEnd"/>
      <w:r w:rsidRPr="00280290">
        <w:t xml:space="preserve"> </w:t>
      </w:r>
      <w:proofErr w:type="gramStart"/>
      <w:r w:rsidRPr="00280290">
        <w:t>Available at &lt;http://www.childlawproject.ie/wp-content/uploads/2013/11/correctedinterimreport.pdf&gt;</w:t>
      </w:r>
      <w:r>
        <w:t xml:space="preserve">(last </w:t>
      </w:r>
      <w:r w:rsidRPr="00280290">
        <w:t>accessed 21 March 2014</w:t>
      </w:r>
      <w:r>
        <w:t>)</w:t>
      </w:r>
      <w:r w:rsidRPr="00280290">
        <w:t>.</w:t>
      </w:r>
      <w:proofErr w:type="gramEnd"/>
    </w:p>
  </w:footnote>
  <w:footnote w:id="148">
    <w:p w14:paraId="5793EB6D" w14:textId="77777777" w:rsidR="006C1607" w:rsidRPr="00280290" w:rsidRDefault="006C1607" w:rsidP="00AC5E18">
      <w:pPr>
        <w:pStyle w:val="FootnoteText"/>
      </w:pPr>
      <w:r w:rsidRPr="00280290">
        <w:rPr>
          <w:rStyle w:val="FootnoteReference"/>
        </w:rPr>
        <w:footnoteRef/>
      </w:r>
      <w:r>
        <w:t xml:space="preserve"> </w:t>
      </w:r>
      <w:r w:rsidRPr="00280290">
        <w:t xml:space="preserve">Carol Coulter, </w:t>
      </w:r>
      <w:r w:rsidRPr="00280290">
        <w:rPr>
          <w:i/>
        </w:rPr>
        <w:t>Interim Report- Child Care Law Reporting Project</w:t>
      </w:r>
      <w:r w:rsidRPr="00280290">
        <w:t xml:space="preserve"> (November 2013) 15.Available at &lt;http://www.childlawproject.ie/wp-content/uploads/2013/11/correctedinterimreport.pdf&gt;</w:t>
      </w:r>
      <w:r>
        <w:t xml:space="preserve">(last </w:t>
      </w:r>
      <w:r w:rsidRPr="00280290">
        <w:t>accessed 21 March 2014</w:t>
      </w:r>
      <w:r>
        <w:t>)</w:t>
      </w:r>
      <w:r w:rsidRPr="00280290">
        <w:t>.</w:t>
      </w:r>
    </w:p>
  </w:footnote>
  <w:footnote w:id="149">
    <w:p w14:paraId="60BB94BB" w14:textId="77777777" w:rsidR="006C1607" w:rsidRPr="00280290" w:rsidRDefault="006C1607" w:rsidP="00AC5E18">
      <w:pPr>
        <w:pStyle w:val="FootnoteText"/>
      </w:pPr>
      <w:r w:rsidRPr="00280290">
        <w:rPr>
          <w:rStyle w:val="FootnoteReference"/>
        </w:rPr>
        <w:footnoteRef/>
      </w:r>
      <w:r>
        <w:t xml:space="preserve"> </w:t>
      </w:r>
      <w:r w:rsidRPr="00280290">
        <w:t xml:space="preserve">Carol Coulter, </w:t>
      </w:r>
      <w:r w:rsidRPr="00280290">
        <w:rPr>
          <w:i/>
        </w:rPr>
        <w:t>Interim Report- Child Care Law Reporting Project</w:t>
      </w:r>
      <w:r w:rsidRPr="00280290">
        <w:t xml:space="preserve"> (November 2013) 47, 62.Available at &lt;http://www.childlawproject.ie/wp-content/uploads/2013/11/correctedinterimreport.pdf&gt;</w:t>
      </w:r>
      <w:r>
        <w:t xml:space="preserve">(last </w:t>
      </w:r>
      <w:r w:rsidRPr="00280290">
        <w:t>accessed 25 March 2014</w:t>
      </w:r>
      <w:r>
        <w:t>)</w:t>
      </w:r>
      <w:r w:rsidRPr="00280290">
        <w:t>.</w:t>
      </w:r>
    </w:p>
  </w:footnote>
  <w:footnote w:id="150">
    <w:p w14:paraId="1745A580" w14:textId="77777777" w:rsidR="006C1607" w:rsidRPr="00280290" w:rsidRDefault="006C1607" w:rsidP="00AC5E18">
      <w:pPr>
        <w:pStyle w:val="FootnoteText"/>
      </w:pPr>
      <w:r w:rsidRPr="00280290">
        <w:rPr>
          <w:rStyle w:val="FootnoteReference"/>
        </w:rPr>
        <w:footnoteRef/>
      </w:r>
      <w:r w:rsidRPr="00280290">
        <w:t xml:space="preserve"> Interview with Dublin barrister conducted by Jenni Kline on 14 March 2014.</w:t>
      </w:r>
    </w:p>
  </w:footnote>
  <w:footnote w:id="151">
    <w:p w14:paraId="65EAD1A0" w14:textId="77777777" w:rsidR="006C1607" w:rsidRPr="00280290" w:rsidRDefault="006C1607" w:rsidP="00AC5E18">
      <w:pPr>
        <w:pStyle w:val="FootnoteText"/>
      </w:pPr>
      <w:r w:rsidRPr="00280290">
        <w:rPr>
          <w:rStyle w:val="FootnoteReference"/>
        </w:rPr>
        <w:footnoteRef/>
      </w:r>
      <w:r w:rsidRPr="00280290">
        <w:t xml:space="preserve"> Children Acts Advisory Board, </w:t>
      </w:r>
      <w:r w:rsidRPr="00280290">
        <w:rPr>
          <w:i/>
        </w:rPr>
        <w:t xml:space="preserve">Giving a voice to children’s wishes, feelings and interests: guidance on the role, criteria for appointment, qualifications and training of guardians ad litem appointed for children in Proceedings under the Child Care Act, 1991 </w:t>
      </w:r>
      <w:r>
        <w:t>(May 2009) 23. Available at &lt;</w:t>
      </w:r>
      <w:r w:rsidRPr="00280290">
        <w:t>http://www.caab.ie/Publications/PDFs---Publications/Giving-a-Voice-to-Childrens-Wishes</w:t>
      </w:r>
      <w:proofErr w:type="gramStart"/>
      <w:r w:rsidRPr="00280290">
        <w:t>,-</w:t>
      </w:r>
      <w:proofErr w:type="gramEnd"/>
      <w:r w:rsidRPr="00280290">
        <w:t>Feelings-and-I.aspx&gt;</w:t>
      </w:r>
      <w:r>
        <w:t xml:space="preserve">(last </w:t>
      </w:r>
      <w:r w:rsidRPr="00280290">
        <w:t>accessed 24 March 2014</w:t>
      </w:r>
      <w:r>
        <w:t>).</w:t>
      </w:r>
    </w:p>
  </w:footnote>
  <w:footnote w:id="152">
    <w:p w14:paraId="7C78D4D1" w14:textId="77777777" w:rsidR="006C1607" w:rsidRPr="00280290" w:rsidRDefault="006C1607" w:rsidP="00AC5E18">
      <w:pPr>
        <w:pStyle w:val="FootnoteText"/>
      </w:pPr>
      <w:r w:rsidRPr="00280290">
        <w:rPr>
          <w:rStyle w:val="FootnoteReference"/>
        </w:rPr>
        <w:footnoteRef/>
      </w:r>
      <w:r>
        <w:t xml:space="preserve"> Interview with </w:t>
      </w:r>
      <w:r>
        <w:rPr>
          <w:lang w:val="en-US"/>
        </w:rPr>
        <w:t>R</w:t>
      </w:r>
      <w:r w:rsidRPr="00280290">
        <w:t>epresentative from a Child Advocacy organi</w:t>
      </w:r>
      <w:r w:rsidRPr="00280290">
        <w:rPr>
          <w:lang w:val="en-US"/>
        </w:rPr>
        <w:t>s</w:t>
      </w:r>
      <w:r w:rsidRPr="00280290">
        <w:t>ation by Jenni Kline on 1 April 2014.</w:t>
      </w:r>
    </w:p>
  </w:footnote>
  <w:footnote w:id="153">
    <w:p w14:paraId="42895322" w14:textId="77777777" w:rsidR="006C1607" w:rsidRPr="00280290" w:rsidRDefault="006C1607" w:rsidP="001838ED">
      <w:pPr>
        <w:pStyle w:val="FootnoteText"/>
      </w:pPr>
      <w:r w:rsidRPr="00280290">
        <w:rPr>
          <w:rStyle w:val="FootnoteReference"/>
        </w:rPr>
        <w:footnoteRef/>
      </w:r>
      <w:r w:rsidRPr="00280290">
        <w:t xml:space="preserve"> Interview with District Court Judge conducted by Jenni Kline on 10 March 2014.</w:t>
      </w:r>
    </w:p>
  </w:footnote>
  <w:footnote w:id="154">
    <w:p w14:paraId="294706E9" w14:textId="77777777" w:rsidR="006C1607" w:rsidRPr="00280290" w:rsidRDefault="006C1607" w:rsidP="001838ED">
      <w:pPr>
        <w:pStyle w:val="FootnoteText"/>
      </w:pPr>
      <w:r w:rsidRPr="00280290">
        <w:rPr>
          <w:rStyle w:val="FootnoteReference"/>
        </w:rPr>
        <w:footnoteRef/>
      </w:r>
      <w:r w:rsidRPr="00280290">
        <w:t xml:space="preserve"> Interview with representative from a Child Advocacy organi</w:t>
      </w:r>
      <w:r w:rsidRPr="00280290">
        <w:rPr>
          <w:lang w:val="en-US"/>
        </w:rPr>
        <w:t>s</w:t>
      </w:r>
      <w:r w:rsidRPr="00280290">
        <w:t>ation by Jenni Kline on 1 April 2014.</w:t>
      </w:r>
    </w:p>
  </w:footnote>
  <w:footnote w:id="155">
    <w:p w14:paraId="24E0DE08" w14:textId="77777777" w:rsidR="006C1607" w:rsidRPr="00280290" w:rsidRDefault="006C1607" w:rsidP="00BB1B6C">
      <w:pPr>
        <w:pStyle w:val="FootnoteText"/>
      </w:pPr>
      <w:r w:rsidRPr="00280290">
        <w:rPr>
          <w:rStyle w:val="FootnoteReference"/>
        </w:rPr>
        <w:footnoteRef/>
      </w:r>
      <w:r w:rsidRPr="00280290">
        <w:t xml:space="preserve"> Interview with representative from a Child Advocacy organi</w:t>
      </w:r>
      <w:r w:rsidRPr="00280290">
        <w:rPr>
          <w:lang w:val="en-US"/>
        </w:rPr>
        <w:t>s</w:t>
      </w:r>
      <w:r w:rsidRPr="00280290">
        <w:t>ation by Jenni Kline on 1 April 2014.</w:t>
      </w:r>
    </w:p>
  </w:footnote>
  <w:footnote w:id="156">
    <w:p w14:paraId="61B29406" w14:textId="77777777" w:rsidR="006C1607" w:rsidRPr="00280290" w:rsidRDefault="006C1607">
      <w:pPr>
        <w:pStyle w:val="FootnoteText"/>
      </w:pPr>
      <w:r w:rsidRPr="00280290">
        <w:rPr>
          <w:rStyle w:val="FootnoteReference"/>
        </w:rPr>
        <w:footnoteRef/>
      </w:r>
      <w:r>
        <w:t xml:space="preserve"> EPIC, </w:t>
      </w:r>
      <w:proofErr w:type="gramStart"/>
      <w:r w:rsidRPr="00280290">
        <w:rPr>
          <w:i/>
        </w:rPr>
        <w:t>Its</w:t>
      </w:r>
      <w:proofErr w:type="gramEnd"/>
      <w:r w:rsidRPr="00280290">
        <w:rPr>
          <w:i/>
        </w:rPr>
        <w:t xml:space="preserve"> About Me-Young peoples experiences of participating in Care Reviews</w:t>
      </w:r>
      <w:r w:rsidRPr="00280290">
        <w:t xml:space="preserve"> (2014) 67.</w:t>
      </w:r>
    </w:p>
  </w:footnote>
  <w:footnote w:id="157">
    <w:p w14:paraId="1AE59016" w14:textId="77777777" w:rsidR="006C1607" w:rsidRPr="00280290" w:rsidRDefault="006C1607" w:rsidP="00AC5E18">
      <w:pPr>
        <w:pStyle w:val="FootnoteText"/>
      </w:pPr>
      <w:r w:rsidRPr="00280290">
        <w:rPr>
          <w:rStyle w:val="FootnoteReference"/>
        </w:rPr>
        <w:footnoteRef/>
      </w:r>
      <w:r>
        <w:t xml:space="preserve"> Merike Darmody et al. </w:t>
      </w:r>
      <w:r w:rsidRPr="00280290">
        <w:rPr>
          <w:i/>
        </w:rPr>
        <w:t xml:space="preserve">Education of Children in Care in Ireland: An Exploratory </w:t>
      </w:r>
      <w:r w:rsidRPr="00280290">
        <w:t>Study, Commissioned by the Ombudsman for Children, (May 2013)</w:t>
      </w:r>
      <w:r>
        <w:t>.</w:t>
      </w:r>
    </w:p>
  </w:footnote>
  <w:footnote w:id="158">
    <w:p w14:paraId="73D550AA" w14:textId="77777777" w:rsidR="006C1607" w:rsidRPr="00280290" w:rsidRDefault="006C1607" w:rsidP="00E03B6F">
      <w:pPr>
        <w:pStyle w:val="FootnoteText"/>
      </w:pPr>
      <w:r w:rsidRPr="00280290">
        <w:rPr>
          <w:rStyle w:val="FootnoteReference"/>
        </w:rPr>
        <w:footnoteRef/>
      </w:r>
      <w:r w:rsidRPr="00280290">
        <w:t xml:space="preserve"> Interview with Parent 2 conducted by Jenni Kline on 27 February 2014.</w:t>
      </w:r>
    </w:p>
  </w:footnote>
  <w:footnote w:id="159">
    <w:p w14:paraId="59847E32" w14:textId="77777777" w:rsidR="006C1607" w:rsidRPr="00280290" w:rsidRDefault="006C1607" w:rsidP="001A6111">
      <w:pPr>
        <w:pStyle w:val="FootnoteText"/>
      </w:pPr>
      <w:r w:rsidRPr="00280290">
        <w:rPr>
          <w:rStyle w:val="FootnoteReference"/>
        </w:rPr>
        <w:footnoteRef/>
      </w:r>
      <w:r w:rsidRPr="00280290">
        <w:t xml:space="preserve"> Interview with representative from a Child Advocacy organi</w:t>
      </w:r>
      <w:r w:rsidRPr="00280290">
        <w:rPr>
          <w:lang w:val="en-US"/>
        </w:rPr>
        <w:t>s</w:t>
      </w:r>
      <w:r w:rsidRPr="00280290">
        <w:t>ation conducted by Jenni Kline on 1 April 2014.</w:t>
      </w:r>
    </w:p>
  </w:footnote>
  <w:footnote w:id="160">
    <w:p w14:paraId="4AEA287E" w14:textId="77777777" w:rsidR="006C1607" w:rsidRPr="00280290" w:rsidRDefault="006C1607" w:rsidP="00AC5E18">
      <w:pPr>
        <w:pStyle w:val="FootnoteText"/>
      </w:pPr>
      <w:r w:rsidRPr="00280290">
        <w:rPr>
          <w:rStyle w:val="FootnoteReference"/>
        </w:rPr>
        <w:footnoteRef/>
      </w:r>
      <w:r w:rsidRPr="00280290">
        <w:t xml:space="preserve"> Court Service, S</w:t>
      </w:r>
      <w:r>
        <w:t xml:space="preserve">tatistics, Custody and Access. </w:t>
      </w:r>
      <w:proofErr w:type="gramStart"/>
      <w:r>
        <w:t xml:space="preserve">Available at </w:t>
      </w:r>
      <w:r w:rsidRPr="00280290">
        <w:t>&lt;http://www.courts.ie/courts.ie/library3.nsf/66d7c83325e8568b80256ffe00466ca0/4f8b4949c6a3c79480257a7600372948?O</w:t>
      </w:r>
      <w:r>
        <w:t>penDocument</w:t>
      </w:r>
      <w:r w:rsidRPr="00280290">
        <w:t>&gt;</w:t>
      </w:r>
      <w:r>
        <w:t xml:space="preserve"> (last </w:t>
      </w:r>
      <w:r w:rsidRPr="00280290">
        <w:t>accessed 14 April 2015</w:t>
      </w:r>
      <w:r>
        <w:t>)</w:t>
      </w:r>
      <w:r w:rsidRPr="00280290">
        <w:t>.</w:t>
      </w:r>
      <w:proofErr w:type="gramEnd"/>
    </w:p>
  </w:footnote>
  <w:footnote w:id="161">
    <w:p w14:paraId="14204BEF" w14:textId="77777777" w:rsidR="006C1607" w:rsidRPr="00280290" w:rsidRDefault="006C1607">
      <w:pPr>
        <w:pStyle w:val="FootnoteText"/>
        <w:rPr>
          <w:lang w:val="en-US"/>
        </w:rPr>
      </w:pPr>
      <w:r w:rsidRPr="00280290">
        <w:rPr>
          <w:rStyle w:val="FootnoteReference"/>
        </w:rPr>
        <w:footnoteRef/>
      </w:r>
      <w:r>
        <w:rPr>
          <w:lang w:val="en-US"/>
        </w:rPr>
        <w:t xml:space="preserve"> Court Service, Statistics, Custody and Access. Available at </w:t>
      </w:r>
      <w:r w:rsidRPr="00280290">
        <w:rPr>
          <w:lang w:val="en-US"/>
        </w:rPr>
        <w:t>&lt;http://www.courts.ie/courts.ie/library3.nsf/66d7c83325e8568b80256ffe00466ca0/e1300b140d3331cc8025774c005913e9</w:t>
      </w:r>
      <w:proofErr w:type="gramStart"/>
      <w:r w:rsidRPr="00280290">
        <w:rPr>
          <w:lang w:val="en-US"/>
        </w:rPr>
        <w:t>?OpenDocument</w:t>
      </w:r>
      <w:proofErr w:type="gramEnd"/>
      <w:r w:rsidRPr="00280290">
        <w:rPr>
          <w:lang w:val="en-US"/>
        </w:rPr>
        <w:t>&gt;</w:t>
      </w:r>
      <w:r>
        <w:rPr>
          <w:lang w:val="en-US"/>
        </w:rPr>
        <w:t xml:space="preserve"> (last </w:t>
      </w:r>
      <w:r w:rsidRPr="00280290">
        <w:rPr>
          <w:lang w:val="en-US"/>
        </w:rPr>
        <w:t>accessed 14 April 2015</w:t>
      </w:r>
      <w:r>
        <w:rPr>
          <w:lang w:val="en-US"/>
        </w:rPr>
        <w:t>)</w:t>
      </w:r>
      <w:r w:rsidRPr="00280290">
        <w:rPr>
          <w:lang w:val="en-US"/>
        </w:rPr>
        <w:t>.</w:t>
      </w:r>
    </w:p>
  </w:footnote>
  <w:footnote w:id="162">
    <w:p w14:paraId="360DC15A" w14:textId="77777777" w:rsidR="006C1607" w:rsidRPr="00280290" w:rsidRDefault="006C1607" w:rsidP="00161059">
      <w:pPr>
        <w:pStyle w:val="FootnoteText"/>
      </w:pPr>
      <w:r w:rsidRPr="00280290">
        <w:rPr>
          <w:rStyle w:val="FootnoteReference"/>
        </w:rPr>
        <w:footnoteRef/>
      </w:r>
      <w:r>
        <w:rPr>
          <w:lang w:val="en-US"/>
        </w:rPr>
        <w:t xml:space="preserve"> </w:t>
      </w:r>
      <w:proofErr w:type="gramStart"/>
      <w:r>
        <w:rPr>
          <w:lang w:val="en-US"/>
        </w:rPr>
        <w:t>S</w:t>
      </w:r>
      <w:r w:rsidRPr="00280290">
        <w:t>6(</w:t>
      </w:r>
      <w:proofErr w:type="gramEnd"/>
      <w:r w:rsidRPr="00280290">
        <w:t>1) Guardianship of Infants Ac 1964.</w:t>
      </w:r>
    </w:p>
  </w:footnote>
  <w:footnote w:id="163">
    <w:p w14:paraId="48BF7602" w14:textId="77777777" w:rsidR="006C1607" w:rsidRPr="00280290" w:rsidRDefault="006C1607">
      <w:pPr>
        <w:pStyle w:val="FootnoteText"/>
      </w:pPr>
      <w:r w:rsidRPr="00280290">
        <w:rPr>
          <w:rStyle w:val="FootnoteReference"/>
        </w:rPr>
        <w:footnoteRef/>
      </w:r>
      <w:r w:rsidRPr="00280290">
        <w:t xml:space="preserve"> S49 Children and Family Relationships Bill (2015).</w:t>
      </w:r>
    </w:p>
  </w:footnote>
  <w:footnote w:id="164">
    <w:p w14:paraId="741EFC2C" w14:textId="77777777" w:rsidR="006C1607" w:rsidRPr="00280290" w:rsidRDefault="006C1607">
      <w:pPr>
        <w:pStyle w:val="FootnoteText"/>
      </w:pPr>
      <w:r w:rsidRPr="00280290">
        <w:rPr>
          <w:rStyle w:val="FootnoteReference"/>
        </w:rPr>
        <w:footnoteRef/>
      </w:r>
      <w:r>
        <w:t xml:space="preserve"> S</w:t>
      </w:r>
      <w:r w:rsidRPr="00280290">
        <w:t>45 Children and Family Relationships Bill (2015).</w:t>
      </w:r>
    </w:p>
  </w:footnote>
  <w:footnote w:id="165">
    <w:p w14:paraId="63BD0ED5" w14:textId="77777777" w:rsidR="006C1607" w:rsidRPr="0096093C" w:rsidRDefault="006C1607">
      <w:pPr>
        <w:pStyle w:val="FootnoteText"/>
        <w:rPr>
          <w:lang w:val="en-US"/>
        </w:rPr>
      </w:pPr>
      <w:r>
        <w:rPr>
          <w:rStyle w:val="FootnoteReference"/>
        </w:rPr>
        <w:footnoteRef/>
      </w:r>
      <w:r>
        <w:t xml:space="preserve"> </w:t>
      </w:r>
      <w:r>
        <w:rPr>
          <w:lang w:val="en-US"/>
        </w:rPr>
        <w:t xml:space="preserve">Evelyn Mahon and Elena Moore, </w:t>
      </w:r>
      <w:r w:rsidRPr="008E4295">
        <w:rPr>
          <w:i/>
          <w:lang w:val="en-US"/>
        </w:rPr>
        <w:t>Post Separation Parenting</w:t>
      </w:r>
      <w:r>
        <w:rPr>
          <w:lang w:val="en-US"/>
        </w:rPr>
        <w:t>-A study of separation and divorce agreements made by the Family Law and Circuit Courts of Ireland and their implications for parent-child contact and family lives, Office for the Minister for Children and Youth Affairs (January 2011).</w:t>
      </w:r>
    </w:p>
  </w:footnote>
  <w:footnote w:id="166">
    <w:p w14:paraId="66EEDC1D" w14:textId="77777777" w:rsidR="006C1607" w:rsidRPr="00280290" w:rsidRDefault="006C1607" w:rsidP="00DE507F">
      <w:pPr>
        <w:pStyle w:val="FootnoteText"/>
        <w:rPr>
          <w:i/>
        </w:rPr>
      </w:pPr>
      <w:r w:rsidRPr="00280290">
        <w:rPr>
          <w:rStyle w:val="FootnoteReference"/>
        </w:rPr>
        <w:footnoteRef/>
      </w:r>
      <w:r>
        <w:t xml:space="preserve"> </w:t>
      </w:r>
      <w:proofErr w:type="gramStart"/>
      <w:r w:rsidRPr="0091155C">
        <w:t>W.D. v. S.D. [2011] IEHC 120.</w:t>
      </w:r>
      <w:proofErr w:type="gramEnd"/>
    </w:p>
  </w:footnote>
  <w:footnote w:id="167">
    <w:p w14:paraId="747F4376" w14:textId="77777777" w:rsidR="006C1607" w:rsidRPr="00280290" w:rsidRDefault="006C1607" w:rsidP="00BB1B6C">
      <w:pPr>
        <w:pStyle w:val="FootnoteText"/>
      </w:pPr>
      <w:r w:rsidRPr="00280290">
        <w:rPr>
          <w:rStyle w:val="FootnoteReference"/>
        </w:rPr>
        <w:footnoteRef/>
      </w:r>
      <w:r>
        <w:t xml:space="preserve"> S</w:t>
      </w:r>
      <w:r w:rsidRPr="00280290">
        <w:t xml:space="preserve">47 </w:t>
      </w:r>
      <w:r>
        <w:t>Family Law Act</w:t>
      </w:r>
      <w:r w:rsidRPr="00280290">
        <w:t xml:space="preserve"> 1995 allows the judge to procure a written report on any question related to welfare of the party of the proceedings.</w:t>
      </w:r>
    </w:p>
  </w:footnote>
  <w:footnote w:id="168">
    <w:p w14:paraId="514BFA88" w14:textId="77777777" w:rsidR="006C1607" w:rsidRPr="00280290" w:rsidRDefault="006C1607" w:rsidP="00BB1B6C">
      <w:pPr>
        <w:pStyle w:val="task"/>
        <w:tabs>
          <w:tab w:val="clear" w:pos="680"/>
        </w:tabs>
        <w:ind w:left="0" w:firstLine="0"/>
        <w:rPr>
          <w:rFonts w:asciiTheme="minorHAnsi" w:hAnsiTheme="minorHAnsi"/>
          <w:sz w:val="20"/>
          <w:szCs w:val="20"/>
        </w:rPr>
      </w:pPr>
      <w:r w:rsidRPr="00280290">
        <w:rPr>
          <w:rStyle w:val="FootnoteReference"/>
          <w:rFonts w:asciiTheme="minorHAnsi" w:hAnsiTheme="minorHAnsi"/>
          <w:sz w:val="20"/>
          <w:szCs w:val="20"/>
        </w:rPr>
        <w:footnoteRef/>
      </w:r>
      <w:r>
        <w:rPr>
          <w:rFonts w:asciiTheme="minorHAnsi" w:eastAsia="MS Mincho" w:hAnsiTheme="minorHAnsi"/>
          <w:sz w:val="20"/>
          <w:szCs w:val="20"/>
          <w:lang w:eastAsia="fr-FR"/>
        </w:rPr>
        <w:t xml:space="preserve"> </w:t>
      </w:r>
      <w:r w:rsidRPr="00280290">
        <w:rPr>
          <w:rFonts w:asciiTheme="minorHAnsi" w:eastAsia="MS Mincho" w:hAnsiTheme="minorHAnsi"/>
          <w:sz w:val="20"/>
          <w:szCs w:val="20"/>
          <w:lang w:eastAsia="fr-FR"/>
        </w:rPr>
        <w:t>S.J. O’D v. P.C. O’D [2008] IEHC 468.</w:t>
      </w:r>
    </w:p>
  </w:footnote>
  <w:footnote w:id="169">
    <w:p w14:paraId="6AD70633" w14:textId="77777777" w:rsidR="006C1607" w:rsidRPr="00280290" w:rsidRDefault="006C1607" w:rsidP="00BB1B6C">
      <w:pPr>
        <w:pStyle w:val="FootnoteText"/>
      </w:pPr>
      <w:r w:rsidRPr="00280290">
        <w:rPr>
          <w:rStyle w:val="FootnoteReference"/>
        </w:rPr>
        <w:footnoteRef/>
      </w:r>
      <w:r w:rsidRPr="00280290">
        <w:t xml:space="preserve"> S.J. O’D v. P.C. O’D [2008] IEHC 468.</w:t>
      </w:r>
    </w:p>
  </w:footnote>
  <w:footnote w:id="170">
    <w:p w14:paraId="5615C7B7" w14:textId="77777777" w:rsidR="006C1607" w:rsidRPr="00280290" w:rsidRDefault="006C1607" w:rsidP="00BB1B6C">
      <w:pPr>
        <w:pStyle w:val="FootnoteText"/>
      </w:pPr>
      <w:r w:rsidRPr="00280290">
        <w:rPr>
          <w:rStyle w:val="FootnoteReference"/>
        </w:rPr>
        <w:footnoteRef/>
      </w:r>
      <w:r w:rsidRPr="00280290">
        <w:t xml:space="preserve"> S.J. O’D v. P.C. O’D [2008] IEHC 468.</w:t>
      </w:r>
    </w:p>
  </w:footnote>
  <w:footnote w:id="171">
    <w:p w14:paraId="1C9B949E" w14:textId="77777777" w:rsidR="006C1607" w:rsidRPr="00280290" w:rsidRDefault="006C1607">
      <w:pPr>
        <w:pStyle w:val="FootnoteText"/>
      </w:pPr>
      <w:r w:rsidRPr="00280290">
        <w:rPr>
          <w:rStyle w:val="FootnoteReference"/>
        </w:rPr>
        <w:footnoteRef/>
      </w:r>
      <w:r>
        <w:t xml:space="preserve"> </w:t>
      </w:r>
      <w:r w:rsidRPr="00280290">
        <w:t xml:space="preserve">Barnardos, </w:t>
      </w:r>
      <w:r w:rsidRPr="00280290">
        <w:rPr>
          <w:i/>
        </w:rPr>
        <w:t>What about Me? Prioritising Children in Family Breakdown Proceedings</w:t>
      </w:r>
      <w:r w:rsidRPr="00280290">
        <w:t xml:space="preserve">, (May 2013). </w:t>
      </w:r>
      <w:proofErr w:type="gramStart"/>
      <w:r w:rsidRPr="0091155C">
        <w:t>Available at</w:t>
      </w:r>
      <w:r>
        <w:t xml:space="preserve"> &lt;</w:t>
      </w:r>
      <w:r w:rsidRPr="0091155C">
        <w:t>http://www.barnardos.ie/assets/files/Advocacy/Family%20Lay%20May%202013/Barnardos%20What%20About%20Me%20report%20May%202013.pdf</w:t>
      </w:r>
      <w:r w:rsidRPr="00280290">
        <w:t>&gt;</w:t>
      </w:r>
      <w:r>
        <w:t xml:space="preserve"> (last accessed </w:t>
      </w:r>
      <w:r w:rsidRPr="00280290">
        <w:t>10 April 2015).</w:t>
      </w:r>
      <w:proofErr w:type="gramEnd"/>
    </w:p>
  </w:footnote>
  <w:footnote w:id="172">
    <w:p w14:paraId="17A142C6" w14:textId="77777777" w:rsidR="006C1607" w:rsidRPr="00280290" w:rsidRDefault="006C1607">
      <w:pPr>
        <w:pStyle w:val="FootnoteText"/>
      </w:pPr>
      <w:r w:rsidRPr="00280290">
        <w:rPr>
          <w:rStyle w:val="FootnoteReference"/>
        </w:rPr>
        <w:footnoteRef/>
      </w:r>
      <w:r w:rsidRPr="00280290">
        <w:t xml:space="preserve"> Mr. Justice Michael White, </w:t>
      </w:r>
      <w:r w:rsidRPr="00280290">
        <w:rPr>
          <w:i/>
        </w:rPr>
        <w:t xml:space="preserve">Background Paper to Presentation ‘Challenges in Family Law </w:t>
      </w:r>
      <w:proofErr w:type="gramStart"/>
      <w:r w:rsidRPr="00280290">
        <w:rPr>
          <w:i/>
        </w:rPr>
        <w:t xml:space="preserve">Proceedings’ </w:t>
      </w:r>
      <w:r w:rsidRPr="00280290">
        <w:t xml:space="preserve"> Conference</w:t>
      </w:r>
      <w:proofErr w:type="gramEnd"/>
      <w:r w:rsidRPr="00280290">
        <w:t xml:space="preserve"> held by Barnardos ‘What About Me? Prioritising Children in Family Breakdown Proceedings’ (29 May 2013).</w:t>
      </w:r>
    </w:p>
  </w:footnote>
  <w:footnote w:id="173">
    <w:p w14:paraId="208B6373" w14:textId="77777777" w:rsidR="006C1607" w:rsidRPr="00280290" w:rsidRDefault="006C1607" w:rsidP="00BB1B6C">
      <w:pPr>
        <w:pStyle w:val="FootnoteText"/>
      </w:pPr>
      <w:r w:rsidRPr="00280290">
        <w:rPr>
          <w:rStyle w:val="FootnoteReference"/>
        </w:rPr>
        <w:footnoteRef/>
      </w:r>
      <w:r>
        <w:rPr>
          <w:lang w:val="en-US"/>
        </w:rPr>
        <w:t xml:space="preserve"> </w:t>
      </w:r>
      <w:proofErr w:type="gramStart"/>
      <w:r>
        <w:rPr>
          <w:lang w:val="en-US"/>
        </w:rPr>
        <w:t>S</w:t>
      </w:r>
      <w:r w:rsidRPr="00280290">
        <w:t>20(</w:t>
      </w:r>
      <w:proofErr w:type="gramEnd"/>
      <w:r w:rsidRPr="00280290">
        <w:t>b) Children Act 1997.</w:t>
      </w:r>
    </w:p>
  </w:footnote>
  <w:footnote w:id="174">
    <w:p w14:paraId="1E72EB20" w14:textId="77777777" w:rsidR="006C1607" w:rsidRPr="00280290" w:rsidRDefault="006C1607" w:rsidP="00BB1B6C">
      <w:pPr>
        <w:pStyle w:val="FootnoteText"/>
        <w:contextualSpacing/>
      </w:pPr>
      <w:r w:rsidRPr="00280290">
        <w:rPr>
          <w:rStyle w:val="FootnoteReference"/>
        </w:rPr>
        <w:footnoteRef/>
      </w:r>
      <w:r>
        <w:t xml:space="preserve"> Laura Lundy et al. </w:t>
      </w:r>
      <w:r w:rsidRPr="00280290">
        <w:rPr>
          <w:i/>
          <w:iCs/>
        </w:rPr>
        <w:t>The UN Convention on the Rights of the Child: a study of legal implementation in 12 countries</w:t>
      </w:r>
      <w:r>
        <w:rPr>
          <w:i/>
          <w:iCs/>
        </w:rPr>
        <w:t xml:space="preserve"> </w:t>
      </w:r>
      <w:r w:rsidRPr="00280290">
        <w:t>(2012) UNICEF and Queen’s University Belfast.</w:t>
      </w:r>
    </w:p>
  </w:footnote>
  <w:footnote w:id="175">
    <w:p w14:paraId="39B2F4E1" w14:textId="77777777" w:rsidR="006C1607" w:rsidRPr="00280290" w:rsidRDefault="006C1607">
      <w:pPr>
        <w:pStyle w:val="FootnoteText"/>
      </w:pPr>
      <w:r w:rsidRPr="00280290">
        <w:rPr>
          <w:rStyle w:val="FootnoteReference"/>
        </w:rPr>
        <w:footnoteRef/>
      </w:r>
      <w:r w:rsidRPr="00280290">
        <w:t xml:space="preserve"> Interview with a Judge conducted by Jenni Kline 22 August 2014.</w:t>
      </w:r>
    </w:p>
  </w:footnote>
  <w:footnote w:id="176">
    <w:p w14:paraId="216935CE" w14:textId="77777777" w:rsidR="006C1607" w:rsidRPr="00280290" w:rsidRDefault="006C1607">
      <w:pPr>
        <w:pStyle w:val="FootnoteText"/>
      </w:pPr>
      <w:r w:rsidRPr="00280290">
        <w:rPr>
          <w:rStyle w:val="FootnoteReference"/>
        </w:rPr>
        <w:footnoteRef/>
      </w:r>
      <w:r w:rsidRPr="00280290">
        <w:t xml:space="preserve"> ‘More than a dozen children admitted as involuntary patients in 2013’ </w:t>
      </w:r>
      <w:r w:rsidRPr="00280290">
        <w:rPr>
          <w:i/>
        </w:rPr>
        <w:t>thejournal.ie</w:t>
      </w:r>
      <w:r>
        <w:t xml:space="preserve"> (26 June 2014). Available at &lt;</w:t>
      </w:r>
      <w:r w:rsidRPr="005202EA">
        <w:t>http://www.thejournal.ie/involuntary-admissions-to-mental-health-units-increases-2013-1537937-Jun2014/</w:t>
      </w:r>
      <w:r w:rsidRPr="00280290">
        <w:t xml:space="preserve">&gt; (last accessed </w:t>
      </w:r>
      <w:proofErr w:type="gramStart"/>
      <w:r w:rsidRPr="00280290">
        <w:t>10  April</w:t>
      </w:r>
      <w:proofErr w:type="gramEnd"/>
      <w:r w:rsidRPr="00280290">
        <w:t xml:space="preserve"> 2014).</w:t>
      </w:r>
    </w:p>
  </w:footnote>
  <w:footnote w:id="177">
    <w:p w14:paraId="5C41E00C" w14:textId="77777777" w:rsidR="006C1607" w:rsidRPr="00280290" w:rsidRDefault="006C1607" w:rsidP="00D9048D">
      <w:pPr>
        <w:contextualSpacing/>
        <w:rPr>
          <w:rFonts w:asciiTheme="minorHAnsi" w:hAnsiTheme="minorHAnsi"/>
          <w:sz w:val="20"/>
          <w:szCs w:val="20"/>
        </w:rPr>
      </w:pPr>
      <w:r w:rsidRPr="00280290">
        <w:rPr>
          <w:rStyle w:val="FootnoteReference"/>
          <w:rFonts w:asciiTheme="minorHAnsi" w:hAnsiTheme="minorHAnsi"/>
          <w:sz w:val="20"/>
          <w:szCs w:val="20"/>
        </w:rPr>
        <w:footnoteRef/>
      </w:r>
      <w:r w:rsidRPr="00280290">
        <w:rPr>
          <w:rFonts w:asciiTheme="minorHAnsi" w:hAnsiTheme="minorHAnsi"/>
          <w:sz w:val="20"/>
          <w:szCs w:val="20"/>
        </w:rPr>
        <w:t xml:space="preserve"> </w:t>
      </w:r>
      <w:proofErr w:type="gramStart"/>
      <w:r w:rsidRPr="00280290">
        <w:rPr>
          <w:rFonts w:asciiTheme="minorHAnsi" w:hAnsiTheme="minorHAnsi"/>
          <w:sz w:val="20"/>
          <w:szCs w:val="20"/>
        </w:rPr>
        <w:t xml:space="preserve">Mental Health Commission </w:t>
      </w:r>
      <w:r w:rsidRPr="00280290">
        <w:rPr>
          <w:rFonts w:asciiTheme="minorHAnsi" w:hAnsiTheme="minorHAnsi"/>
          <w:i/>
          <w:sz w:val="20"/>
          <w:szCs w:val="20"/>
        </w:rPr>
        <w:t>Annual Report 2012 Including Report of the Inspector of Mental Health Services</w:t>
      </w:r>
      <w:r>
        <w:rPr>
          <w:rFonts w:asciiTheme="minorHAnsi" w:hAnsiTheme="minorHAnsi"/>
          <w:sz w:val="20"/>
          <w:szCs w:val="20"/>
        </w:rPr>
        <w:t xml:space="preserve"> (2012) </w:t>
      </w:r>
      <w:r w:rsidRPr="00280290">
        <w:rPr>
          <w:rFonts w:asciiTheme="minorHAnsi" w:hAnsiTheme="minorHAnsi"/>
          <w:sz w:val="20"/>
          <w:szCs w:val="20"/>
        </w:rPr>
        <w:t>28.</w:t>
      </w:r>
      <w:proofErr w:type="gramEnd"/>
    </w:p>
  </w:footnote>
  <w:footnote w:id="178">
    <w:p w14:paraId="663D1FBF" w14:textId="77777777" w:rsidR="006C1607" w:rsidRPr="00280290" w:rsidRDefault="006C1607" w:rsidP="00D9048D">
      <w:pPr>
        <w:pStyle w:val="FootnoteText"/>
      </w:pPr>
      <w:r w:rsidRPr="00280290">
        <w:rPr>
          <w:rStyle w:val="FootnoteReference"/>
        </w:rPr>
        <w:footnoteRef/>
      </w:r>
      <w:r>
        <w:t xml:space="preserve"> </w:t>
      </w:r>
      <w:r w:rsidRPr="005202EA">
        <w:t xml:space="preserve">X.Y., A Minor Suing by her Guardian Ad Litem, Raymond McEvoy v. </w:t>
      </w:r>
      <w:proofErr w:type="gramStart"/>
      <w:r w:rsidRPr="005202EA">
        <w:t>The Health Service Executive</w:t>
      </w:r>
      <w:r w:rsidRPr="00280290">
        <w:t xml:space="preserve"> [2013] IEHC 490.</w:t>
      </w:r>
      <w:proofErr w:type="gramEnd"/>
    </w:p>
  </w:footnote>
  <w:footnote w:id="179">
    <w:p w14:paraId="51F7D819" w14:textId="77777777" w:rsidR="006C1607" w:rsidRPr="00280290" w:rsidRDefault="006C1607">
      <w:pPr>
        <w:pStyle w:val="FootnoteText"/>
        <w:rPr>
          <w:lang w:val="en-US"/>
        </w:rPr>
      </w:pPr>
      <w:r w:rsidRPr="00280290">
        <w:rPr>
          <w:rStyle w:val="FootnoteReference"/>
        </w:rPr>
        <w:footnoteRef/>
      </w:r>
      <w:r>
        <w:t xml:space="preserve"> </w:t>
      </w:r>
      <w:proofErr w:type="gramStart"/>
      <w:r>
        <w:t>S</w:t>
      </w:r>
      <w:r w:rsidRPr="00280290">
        <w:t>25 Mental Health Act 2001</w:t>
      </w:r>
      <w:r>
        <w:t>.</w:t>
      </w:r>
      <w:proofErr w:type="gramEnd"/>
    </w:p>
  </w:footnote>
  <w:footnote w:id="180">
    <w:p w14:paraId="2C2A1EA2" w14:textId="77777777" w:rsidR="006C1607" w:rsidRPr="00280290" w:rsidRDefault="006C1607" w:rsidP="00161059">
      <w:pPr>
        <w:pStyle w:val="FootnoteText"/>
      </w:pPr>
      <w:r w:rsidRPr="00280290">
        <w:rPr>
          <w:rStyle w:val="FootnoteReference"/>
        </w:rPr>
        <w:footnoteRef/>
      </w:r>
      <w:r>
        <w:rPr>
          <w:lang w:val="en-US"/>
        </w:rPr>
        <w:t xml:space="preserve"> </w:t>
      </w:r>
      <w:proofErr w:type="gramStart"/>
      <w:r>
        <w:rPr>
          <w:lang w:val="en-US"/>
        </w:rPr>
        <w:t>S</w:t>
      </w:r>
      <w:r w:rsidRPr="00280290">
        <w:t>25 Mental Health Act 2001</w:t>
      </w:r>
      <w:r>
        <w:t>.</w:t>
      </w:r>
      <w:proofErr w:type="gramEnd"/>
    </w:p>
  </w:footnote>
  <w:footnote w:id="181">
    <w:p w14:paraId="66E607BD" w14:textId="77777777" w:rsidR="006C1607" w:rsidRPr="00280290" w:rsidRDefault="006C1607" w:rsidP="00E03B6F">
      <w:pPr>
        <w:pStyle w:val="FootnoteText"/>
        <w:rPr>
          <w:b/>
        </w:rPr>
      </w:pPr>
      <w:r w:rsidRPr="00280290">
        <w:rPr>
          <w:rStyle w:val="FootnoteReference"/>
        </w:rPr>
        <w:footnoteRef/>
      </w:r>
      <w:r w:rsidRPr="00280290">
        <w:t xml:space="preserve"> Interview with District Court Judge conducted by Jenni Kline on 10 March 2014.</w:t>
      </w:r>
    </w:p>
  </w:footnote>
  <w:footnote w:id="182">
    <w:p w14:paraId="21C3C42A" w14:textId="77777777" w:rsidR="006C1607" w:rsidRPr="00280290" w:rsidRDefault="006C1607" w:rsidP="00BB23CC">
      <w:pPr>
        <w:pStyle w:val="FootnoteText"/>
      </w:pPr>
      <w:r w:rsidRPr="00280290">
        <w:rPr>
          <w:rStyle w:val="FootnoteReference"/>
        </w:rPr>
        <w:footnoteRef/>
      </w:r>
      <w:r>
        <w:t xml:space="preserve"> </w:t>
      </w:r>
      <w:r w:rsidRPr="005202EA">
        <w:t xml:space="preserve">X.Y., A Minor Suing by her Guardian Ad Litem, Raymond McEvoy v. The Health Service </w:t>
      </w:r>
      <w:proofErr w:type="gramStart"/>
      <w:r w:rsidRPr="005202EA">
        <w:t>Executive</w:t>
      </w:r>
      <w:r w:rsidRPr="00280290">
        <w:t>[</w:t>
      </w:r>
      <w:proofErr w:type="gramEnd"/>
      <w:r w:rsidRPr="00280290">
        <w:t>2013] IEHC 490.</w:t>
      </w:r>
    </w:p>
  </w:footnote>
  <w:footnote w:id="183">
    <w:p w14:paraId="6E494550" w14:textId="77777777" w:rsidR="006C1607" w:rsidRPr="00280290" w:rsidRDefault="006C1607" w:rsidP="00E03B6F">
      <w:pPr>
        <w:pStyle w:val="FootnoteText"/>
      </w:pPr>
      <w:r w:rsidRPr="00280290">
        <w:rPr>
          <w:rStyle w:val="FootnoteReference"/>
        </w:rPr>
        <w:footnoteRef/>
      </w:r>
      <w:r>
        <w:t xml:space="preserve"> </w:t>
      </w:r>
      <w:r w:rsidRPr="005202EA">
        <w:t xml:space="preserve">X.Y., A Minor Suing by her Guardian Ad Litem, Raymond McEvoy v. </w:t>
      </w:r>
      <w:proofErr w:type="gramStart"/>
      <w:r w:rsidRPr="005202EA">
        <w:t xml:space="preserve">The Health Service Executive </w:t>
      </w:r>
      <w:r w:rsidRPr="00280290">
        <w:t>[2013] IEHC 490.</w:t>
      </w:r>
      <w:proofErr w:type="gramEnd"/>
    </w:p>
  </w:footnote>
  <w:footnote w:id="184">
    <w:p w14:paraId="0BF507E6" w14:textId="77777777" w:rsidR="006C1607" w:rsidRPr="00280290" w:rsidRDefault="006C1607" w:rsidP="00E03B6F">
      <w:pPr>
        <w:pStyle w:val="FootnoteText"/>
      </w:pPr>
      <w:r w:rsidRPr="00280290">
        <w:rPr>
          <w:rStyle w:val="FootnoteReference"/>
        </w:rPr>
        <w:footnoteRef/>
      </w:r>
      <w:r>
        <w:t xml:space="preserve"> </w:t>
      </w:r>
      <w:r w:rsidRPr="005202EA">
        <w:t xml:space="preserve">X.Y., A Minor Suing by her Guardian Ad Litem, Raymond McEvoy v. The Health Service </w:t>
      </w:r>
      <w:proofErr w:type="gramStart"/>
      <w:r w:rsidRPr="005202EA">
        <w:t>Executive</w:t>
      </w:r>
      <w:r w:rsidRPr="00280290">
        <w:t>[</w:t>
      </w:r>
      <w:proofErr w:type="gramEnd"/>
      <w:r w:rsidRPr="00280290">
        <w:t>2013] IEHC 490.</w:t>
      </w:r>
    </w:p>
  </w:footnote>
  <w:footnote w:id="185">
    <w:p w14:paraId="523CC384" w14:textId="77777777" w:rsidR="006C1607" w:rsidRPr="00626715" w:rsidRDefault="006C1607" w:rsidP="00161059">
      <w:pPr>
        <w:pStyle w:val="FootnoteText"/>
        <w:rPr>
          <w:lang w:val="en-US"/>
        </w:rPr>
      </w:pPr>
      <w:r w:rsidRPr="00280290">
        <w:rPr>
          <w:rStyle w:val="FootnoteReference"/>
        </w:rPr>
        <w:footnoteRef/>
      </w:r>
      <w:r>
        <w:t xml:space="preserve"> Tusla website, &lt;www.tusla.ie&gt; </w:t>
      </w:r>
      <w:r>
        <w:rPr>
          <w:lang w:val="en-US"/>
        </w:rPr>
        <w:t>(last a</w:t>
      </w:r>
      <w:r>
        <w:t>ccessed 28 March 2014</w:t>
      </w:r>
      <w:r>
        <w:rPr>
          <w:lang w:val="en-US"/>
        </w:rPr>
        <w:t>).</w:t>
      </w:r>
    </w:p>
  </w:footnote>
  <w:footnote w:id="186">
    <w:p w14:paraId="00258B4E" w14:textId="77777777" w:rsidR="006C1607" w:rsidRPr="00280290" w:rsidRDefault="006C1607">
      <w:pPr>
        <w:pStyle w:val="FootnoteText"/>
      </w:pPr>
      <w:r w:rsidRPr="00280290">
        <w:rPr>
          <w:rStyle w:val="FootnoteReference"/>
        </w:rPr>
        <w:footnoteRef/>
      </w:r>
      <w:r w:rsidRPr="00280290">
        <w:t xml:space="preserve"> </w:t>
      </w:r>
      <w:proofErr w:type="gramStart"/>
      <w:r w:rsidRPr="00280290">
        <w:t xml:space="preserve">Minister for Children and Youth Affairs, </w:t>
      </w:r>
      <w:r w:rsidRPr="00280290">
        <w:rPr>
          <w:i/>
        </w:rPr>
        <w:t>Report of the Task Force on the Child and Family Support Agency</w:t>
      </w:r>
      <w:r w:rsidRPr="00280290">
        <w:t xml:space="preserve"> (July 2012).</w:t>
      </w:r>
      <w:proofErr w:type="gramEnd"/>
      <w:r w:rsidRPr="00280290">
        <w:t xml:space="preserve"> </w:t>
      </w:r>
      <w:proofErr w:type="gramStart"/>
      <w:r w:rsidRPr="005202EA">
        <w:t>Available at</w:t>
      </w:r>
      <w:r w:rsidRPr="00280290">
        <w:rPr>
          <w:i/>
        </w:rPr>
        <w:t>&lt;</w:t>
      </w:r>
      <w:r w:rsidRPr="005202EA">
        <w:t>http://www.dcya.gov.ie/documents/ChidFamilySupportAgency/TaskForceReport.pdf</w:t>
      </w:r>
      <w:r w:rsidRPr="00280290">
        <w:t>&gt; (last accessed 8 April 2015).</w:t>
      </w:r>
      <w:proofErr w:type="gramEnd"/>
    </w:p>
  </w:footnote>
  <w:footnote w:id="187">
    <w:p w14:paraId="3B5DD57A" w14:textId="77777777" w:rsidR="006C1607" w:rsidRPr="00280290" w:rsidRDefault="006C1607">
      <w:pPr>
        <w:pStyle w:val="FootnoteText"/>
        <w:rPr>
          <w:lang w:val="en-US"/>
        </w:rPr>
      </w:pPr>
      <w:r w:rsidRPr="00280290">
        <w:rPr>
          <w:rStyle w:val="FootnoteReference"/>
        </w:rPr>
        <w:footnoteRef/>
      </w:r>
      <w:r>
        <w:t xml:space="preserve"> </w:t>
      </w:r>
      <w:r w:rsidRPr="005202EA">
        <w:t>See also Department of Health</w:t>
      </w:r>
      <w:r>
        <w:rPr>
          <w:i/>
        </w:rPr>
        <w:t>,</w:t>
      </w:r>
      <w:r w:rsidRPr="00280290">
        <w:rPr>
          <w:i/>
        </w:rPr>
        <w:t xml:space="preserve"> Report of the Expert Group on the Review of the Mental Health Act 2001</w:t>
      </w:r>
      <w:r w:rsidRPr="00280290">
        <w:t xml:space="preserve"> (5 March 2015) </w:t>
      </w:r>
      <w:r w:rsidRPr="00280290">
        <w:rPr>
          <w:lang w:val="en-US"/>
        </w:rPr>
        <w:t xml:space="preserve">69. </w:t>
      </w:r>
      <w:proofErr w:type="gramStart"/>
      <w:r w:rsidRPr="005202EA">
        <w:rPr>
          <w:lang w:val="en-US"/>
        </w:rPr>
        <w:t>Available at &lt;http://health.gov.ie/blog/publications/report-of-the-expert-group-review-of-the-mental-health-act-2001/&gt;</w:t>
      </w:r>
      <w:r w:rsidRPr="00280290">
        <w:rPr>
          <w:lang w:val="en-US"/>
        </w:rPr>
        <w:t xml:space="preserve"> (last accessed 14 April 2015).</w:t>
      </w:r>
      <w:proofErr w:type="gramEnd"/>
    </w:p>
  </w:footnote>
  <w:footnote w:id="188">
    <w:p w14:paraId="19D36E42" w14:textId="77777777" w:rsidR="006C1607" w:rsidRPr="00280290" w:rsidRDefault="006C1607" w:rsidP="00641E77">
      <w:pPr>
        <w:pStyle w:val="FootnoteText"/>
      </w:pPr>
      <w:r w:rsidRPr="00280290">
        <w:rPr>
          <w:rStyle w:val="FootnoteReference"/>
        </w:rPr>
        <w:footnoteRef/>
      </w:r>
      <w:r w:rsidRPr="00280290">
        <w:t xml:space="preserve"> Catherine McGuinness, </w:t>
      </w:r>
      <w:r w:rsidRPr="00280290">
        <w:rPr>
          <w:i/>
        </w:rPr>
        <w:t xml:space="preserve">Kilkenny Incest investigation, </w:t>
      </w:r>
      <w:r w:rsidRPr="00280290">
        <w:t>report presented to Brendan Howlin T.D</w:t>
      </w:r>
      <w:r>
        <w:t>.</w:t>
      </w:r>
      <w:r w:rsidRPr="00280290">
        <w:t xml:space="preserve"> Minister for Health by South Eastern Health Board (May 1993).</w:t>
      </w:r>
    </w:p>
  </w:footnote>
  <w:footnote w:id="189">
    <w:p w14:paraId="5F39A008" w14:textId="77777777" w:rsidR="006C1607" w:rsidRPr="00280290" w:rsidRDefault="006C1607" w:rsidP="00641E77">
      <w:pPr>
        <w:pStyle w:val="FootnoteText"/>
      </w:pPr>
      <w:r w:rsidRPr="00280290">
        <w:rPr>
          <w:rStyle w:val="FootnoteReference"/>
        </w:rPr>
        <w:footnoteRef/>
      </w:r>
      <w:r>
        <w:t xml:space="preserve"> </w:t>
      </w:r>
      <w:proofErr w:type="gramStart"/>
      <w:r w:rsidRPr="00280290">
        <w:t xml:space="preserve">Commission to Inquire into Child Abuse, (Judge Ryan) </w:t>
      </w:r>
      <w:r w:rsidRPr="00280290">
        <w:rPr>
          <w:i/>
        </w:rPr>
        <w:t xml:space="preserve">Commission to Inquire into Child Abuse Interim Report </w:t>
      </w:r>
      <w:r w:rsidRPr="00280290">
        <w:t>(May 2001).</w:t>
      </w:r>
      <w:proofErr w:type="gramEnd"/>
      <w:r w:rsidRPr="00280290">
        <w:t xml:space="preserve"> </w:t>
      </w:r>
      <w:proofErr w:type="gramStart"/>
      <w:r w:rsidRPr="00280290">
        <w:t xml:space="preserve">Commission to Inquire into Child Abuse, (Judge Ryan) </w:t>
      </w:r>
      <w:r w:rsidRPr="00280290">
        <w:rPr>
          <w:i/>
        </w:rPr>
        <w:t xml:space="preserve">Commission to Inquire into Child Abuse Second Interim Report </w:t>
      </w:r>
      <w:r>
        <w:t>(October 2001).</w:t>
      </w:r>
      <w:proofErr w:type="gramEnd"/>
      <w:r w:rsidRPr="00280290">
        <w:t xml:space="preserve"> </w:t>
      </w:r>
      <w:proofErr w:type="gramStart"/>
      <w:r w:rsidRPr="00280290">
        <w:t xml:space="preserve">Commission to Inquire into Child Abuse, (Judge Ryan) </w:t>
      </w:r>
      <w:r w:rsidRPr="00280290">
        <w:rPr>
          <w:i/>
        </w:rPr>
        <w:t>Commission to Inquire into Child Abuse Third Interim Report</w:t>
      </w:r>
      <w:r>
        <w:t xml:space="preserve"> (January 2004)</w:t>
      </w:r>
      <w:r w:rsidRPr="00280290">
        <w:t>.</w:t>
      </w:r>
      <w:proofErr w:type="gramEnd"/>
      <w:r w:rsidRPr="00280290">
        <w:t xml:space="preserve"> Commissio</w:t>
      </w:r>
      <w:r>
        <w:t xml:space="preserve">n to Inquire into Child Abuse, </w:t>
      </w:r>
      <w:r w:rsidRPr="00280290">
        <w:t xml:space="preserve">Final Report of (Dublin Report) </w:t>
      </w:r>
      <w:r w:rsidRPr="00280290">
        <w:rPr>
          <w:i/>
        </w:rPr>
        <w:t>Commission to Inquire into Child Abuse</w:t>
      </w:r>
      <w:r w:rsidRPr="00280290">
        <w:t>, (May 2009)</w:t>
      </w:r>
      <w:r>
        <w:t>. A</w:t>
      </w:r>
      <w:r w:rsidRPr="00280290">
        <w:t>vailable at &lt;http://www.childabusecommission.ie/publications/index.html&gt;</w:t>
      </w:r>
      <w:r>
        <w:rPr>
          <w:lang w:val="en-US"/>
        </w:rPr>
        <w:t xml:space="preserve">(last </w:t>
      </w:r>
      <w:r w:rsidRPr="00280290">
        <w:t>accessed 27 March 2014</w:t>
      </w:r>
      <w:r>
        <w:rPr>
          <w:lang w:val="en-US"/>
        </w:rPr>
        <w:t>)</w:t>
      </w:r>
      <w:r w:rsidRPr="00280290">
        <w:t>: Commission of Investigation into Catholic Archdiocese of Dublin, (</w:t>
      </w:r>
      <w:r w:rsidRPr="00280290">
        <w:rPr>
          <w:i/>
        </w:rPr>
        <w:t xml:space="preserve">Judge </w:t>
      </w:r>
      <w:proofErr w:type="gramStart"/>
      <w:r w:rsidRPr="00280290">
        <w:rPr>
          <w:i/>
        </w:rPr>
        <w:t>Murphy)Report</w:t>
      </w:r>
      <w:proofErr w:type="gramEnd"/>
      <w:r w:rsidRPr="00280290">
        <w:rPr>
          <w:i/>
        </w:rPr>
        <w:t xml:space="preserve"> by Commission of Investigation into the Catholic Archdiocese of Dublin</w:t>
      </w:r>
      <w:r w:rsidRPr="00280290">
        <w:t>. (November2009): Commission of Investigation into Catholic Archdiocese of Cloyne (2011).</w:t>
      </w:r>
    </w:p>
  </w:footnote>
  <w:footnote w:id="190">
    <w:p w14:paraId="40BD4CBD" w14:textId="77777777" w:rsidR="006C1607" w:rsidRPr="00280290" w:rsidRDefault="006C1607" w:rsidP="00641E77">
      <w:pPr>
        <w:pStyle w:val="FootnoteText"/>
      </w:pPr>
      <w:r w:rsidRPr="00280290">
        <w:rPr>
          <w:rStyle w:val="FootnoteReference"/>
        </w:rPr>
        <w:footnoteRef/>
      </w:r>
      <w:r w:rsidRPr="00280290">
        <w:t xml:space="preserve"> Ursula Kilkelly, </w:t>
      </w:r>
      <w:r>
        <w:t>‘</w:t>
      </w:r>
      <w:r w:rsidRPr="005202EA">
        <w:t xml:space="preserve">Learning Lessons from the Past: Legal Issues Arising from Ireland’s Child Abuse </w:t>
      </w:r>
      <w:proofErr w:type="gramStart"/>
      <w:r w:rsidRPr="005202EA">
        <w:t>Reports</w:t>
      </w:r>
      <w:r>
        <w:t>’12</w:t>
      </w:r>
      <w:r w:rsidRPr="00280290">
        <w:t>(</w:t>
      </w:r>
      <w:proofErr w:type="gramEnd"/>
      <w:r w:rsidRPr="00280290">
        <w:t xml:space="preserve">2) </w:t>
      </w:r>
      <w:r w:rsidRPr="005202EA">
        <w:rPr>
          <w:i/>
        </w:rPr>
        <w:t>Irish Journal of Applied Social Studies</w:t>
      </w:r>
      <w:r>
        <w:t xml:space="preserve"> (2012) </w:t>
      </w:r>
      <w:r w:rsidRPr="00280290">
        <w:t xml:space="preserve">8-24: Commission to Inquire into Child Abuse, (Judge Ryan) </w:t>
      </w:r>
      <w:r w:rsidRPr="00280290">
        <w:rPr>
          <w:i/>
        </w:rPr>
        <w:t xml:space="preserve">Commission to Inquire into Child Abuse Interim Report </w:t>
      </w:r>
      <w:r w:rsidRPr="00280290">
        <w:t xml:space="preserve">(May 2001). </w:t>
      </w:r>
      <w:proofErr w:type="gramStart"/>
      <w:r w:rsidRPr="00280290">
        <w:t xml:space="preserve">Commission to Inquire into Child Abuse, (Judge Ryan) </w:t>
      </w:r>
      <w:r w:rsidRPr="00280290">
        <w:rPr>
          <w:i/>
        </w:rPr>
        <w:t xml:space="preserve">Commission to Inquire into Child Abuse Second Interim Report </w:t>
      </w:r>
      <w:r>
        <w:t>(October 2001).</w:t>
      </w:r>
      <w:proofErr w:type="gramEnd"/>
      <w:r>
        <w:t xml:space="preserve"> </w:t>
      </w:r>
      <w:proofErr w:type="gramStart"/>
      <w:r w:rsidRPr="00280290">
        <w:t xml:space="preserve">Commission to Inquire into Child Abuse, (Judge Ryan) </w:t>
      </w:r>
      <w:r w:rsidRPr="00280290">
        <w:rPr>
          <w:i/>
        </w:rPr>
        <w:t>Commission to Inquire into Child Abuse Third Interim Report</w:t>
      </w:r>
      <w:r>
        <w:t xml:space="preserve"> (January 2004).</w:t>
      </w:r>
      <w:proofErr w:type="gramEnd"/>
      <w:r w:rsidRPr="00280290">
        <w:t xml:space="preserve"> Commissio</w:t>
      </w:r>
      <w:r>
        <w:t xml:space="preserve">n to Inquire into Child Abuse, </w:t>
      </w:r>
      <w:r w:rsidRPr="00280290">
        <w:t xml:space="preserve">Final Report of (Dublin Report) </w:t>
      </w:r>
      <w:r w:rsidRPr="00280290">
        <w:rPr>
          <w:i/>
        </w:rPr>
        <w:t>Commission to Inquire into Child Abuse</w:t>
      </w:r>
      <w:r w:rsidRPr="00280290">
        <w:t>, (May 2009</w:t>
      </w:r>
      <w:r>
        <w:t>. A</w:t>
      </w:r>
      <w:r w:rsidRPr="00280290">
        <w:t>vailable at &lt;http://www.childabusecommissi</w:t>
      </w:r>
      <w:r>
        <w:t>on.ie/publications/index.html&gt;</w:t>
      </w:r>
      <w:r>
        <w:rPr>
          <w:lang w:val="en-US"/>
        </w:rPr>
        <w:t xml:space="preserve">(last </w:t>
      </w:r>
      <w:r w:rsidRPr="00280290">
        <w:t>accessed 27 March 2014</w:t>
      </w:r>
      <w:r>
        <w:rPr>
          <w:lang w:val="en-US"/>
        </w:rPr>
        <w:t>)</w:t>
      </w:r>
      <w:r w:rsidRPr="00280290">
        <w:t>: Commission of Investigation into Catholic Archdiocese of Dublin, (</w:t>
      </w:r>
      <w:r w:rsidRPr="00280290">
        <w:rPr>
          <w:i/>
        </w:rPr>
        <w:t xml:space="preserve">Judge </w:t>
      </w:r>
      <w:proofErr w:type="gramStart"/>
      <w:r w:rsidRPr="00280290">
        <w:rPr>
          <w:i/>
        </w:rPr>
        <w:t>Murphy)Report</w:t>
      </w:r>
      <w:proofErr w:type="gramEnd"/>
      <w:r w:rsidRPr="00280290">
        <w:rPr>
          <w:i/>
        </w:rPr>
        <w:t xml:space="preserve"> by Commission of Investigation into the Catholic Archdiocese of Dublin</w:t>
      </w:r>
      <w:r w:rsidRPr="00280290">
        <w:t>. (November2009): Commission of Investigation into Catholic Archdiocese of Cloyne (2011).</w:t>
      </w:r>
    </w:p>
  </w:footnote>
  <w:footnote w:id="191">
    <w:p w14:paraId="3935D5D6" w14:textId="77777777" w:rsidR="006C1607" w:rsidRPr="00280290" w:rsidRDefault="006C1607">
      <w:pPr>
        <w:pStyle w:val="FootnoteText"/>
      </w:pPr>
      <w:r w:rsidRPr="00280290">
        <w:rPr>
          <w:rStyle w:val="FootnoteReference"/>
        </w:rPr>
        <w:footnoteRef/>
      </w:r>
      <w:r w:rsidRPr="00280290">
        <w:t xml:space="preserve"> Kevin McCoy, </w:t>
      </w:r>
      <w:r w:rsidRPr="00280290">
        <w:rPr>
          <w:i/>
        </w:rPr>
        <w:t>Report of Dr. Kevin McCoy on the Western Health Board Inquiry into Brothers of Charity Services in Galway</w:t>
      </w:r>
      <w:r w:rsidRPr="00280290">
        <w:t xml:space="preserve"> (November 2007). </w:t>
      </w:r>
      <w:proofErr w:type="gramStart"/>
      <w:r w:rsidRPr="00420439">
        <w:t>Available at</w:t>
      </w:r>
      <w:r w:rsidRPr="00280290">
        <w:rPr>
          <w:i/>
        </w:rPr>
        <w:t>&lt;</w:t>
      </w:r>
      <w:r w:rsidRPr="00420439">
        <w:t>http://www.hse.ie/eng/services/publications/Disability/MCoy_BOC.pdf&gt;(last accessed 9 April 2015).</w:t>
      </w:r>
      <w:proofErr w:type="gramEnd"/>
    </w:p>
  </w:footnote>
  <w:footnote w:id="192">
    <w:p w14:paraId="61595126" w14:textId="77777777" w:rsidR="006C1607" w:rsidRPr="00280290" w:rsidRDefault="006C1607">
      <w:pPr>
        <w:pStyle w:val="FootnoteText"/>
        <w:rPr>
          <w:i/>
        </w:rPr>
      </w:pPr>
      <w:r w:rsidRPr="00280290">
        <w:rPr>
          <w:rStyle w:val="FootnoteReference"/>
        </w:rPr>
        <w:footnoteRef/>
      </w:r>
      <w:r w:rsidRPr="00420439">
        <w:t>Ibid</w:t>
      </w:r>
      <w:r w:rsidRPr="00280290">
        <w:t>at 70</w:t>
      </w:r>
      <w:r w:rsidRPr="00280290">
        <w:rPr>
          <w:i/>
        </w:rPr>
        <w:t>.</w:t>
      </w:r>
    </w:p>
  </w:footnote>
  <w:footnote w:id="193">
    <w:p w14:paraId="3A8B19EA" w14:textId="77777777" w:rsidR="006C1607" w:rsidRPr="00280290" w:rsidRDefault="006C1607">
      <w:pPr>
        <w:pStyle w:val="FootnoteText"/>
      </w:pPr>
      <w:r w:rsidRPr="00280290">
        <w:rPr>
          <w:rStyle w:val="FootnoteReference"/>
        </w:rPr>
        <w:footnoteRef/>
      </w:r>
      <w:r w:rsidRPr="00280290">
        <w:t xml:space="preserve"> Commission to Inquire into Child Abuse, </w:t>
      </w:r>
      <w:r w:rsidRPr="00280290">
        <w:rPr>
          <w:i/>
        </w:rPr>
        <w:t>Executive Summary</w:t>
      </w:r>
      <w:r w:rsidRPr="00280290">
        <w:t xml:space="preserve"> (2005)</w:t>
      </w:r>
      <w:proofErr w:type="gramStart"/>
      <w:r w:rsidRPr="00280290">
        <w:t>.</w:t>
      </w:r>
      <w:r w:rsidRPr="00420439">
        <w:t>Available</w:t>
      </w:r>
      <w:proofErr w:type="gramEnd"/>
      <w:r w:rsidRPr="00420439">
        <w:t xml:space="preserve"> at &lt;http://www.childabusecommission.ie/rpt/ExecSummary.php</w:t>
      </w:r>
      <w:r w:rsidRPr="00280290">
        <w:t>&gt; (last accessed 9 April 2015).</w:t>
      </w:r>
    </w:p>
  </w:footnote>
  <w:footnote w:id="194">
    <w:p w14:paraId="056DEA32" w14:textId="77777777" w:rsidR="006C1607" w:rsidRPr="00280290" w:rsidRDefault="006C1607">
      <w:pPr>
        <w:pStyle w:val="FootnoteText"/>
      </w:pPr>
      <w:r w:rsidRPr="00280290">
        <w:rPr>
          <w:rStyle w:val="FootnoteReference"/>
        </w:rPr>
        <w:footnoteRef/>
      </w:r>
      <w:r w:rsidRPr="00280290">
        <w:t xml:space="preserve"> Commission to Inquire into Child Abuse, </w:t>
      </w:r>
      <w:r w:rsidRPr="00280290">
        <w:rPr>
          <w:i/>
        </w:rPr>
        <w:t>Volume III Chapter 13</w:t>
      </w:r>
      <w:r w:rsidRPr="00280290">
        <w:t xml:space="preserve"> (2005)</w:t>
      </w:r>
      <w:proofErr w:type="gramStart"/>
      <w:r w:rsidRPr="00280290">
        <w:t>.</w:t>
      </w:r>
      <w:r w:rsidRPr="00420439">
        <w:t>Available</w:t>
      </w:r>
      <w:proofErr w:type="gramEnd"/>
      <w:r w:rsidRPr="00420439">
        <w:t xml:space="preserve"> at</w:t>
      </w:r>
      <w:r w:rsidRPr="00280290">
        <w:t>&lt;http://www.childabusecommission.ie/rpt/pdfs/CICA-VOL3-13.pdf&gt; (last accessed 9 April 2015).</w:t>
      </w:r>
    </w:p>
  </w:footnote>
  <w:footnote w:id="195">
    <w:p w14:paraId="64BE3EE1" w14:textId="77777777" w:rsidR="006C1607" w:rsidRPr="00280290" w:rsidRDefault="006C1607" w:rsidP="00641E77">
      <w:pPr>
        <w:pStyle w:val="FootnoteText"/>
      </w:pPr>
      <w:r w:rsidRPr="00280290">
        <w:rPr>
          <w:rStyle w:val="FootnoteReference"/>
        </w:rPr>
        <w:footnoteRef/>
      </w:r>
      <w:r w:rsidRPr="00280290">
        <w:t xml:space="preserve"> Shane Kilcommins </w:t>
      </w:r>
      <w:r w:rsidRPr="00420439">
        <w:t>et al</w:t>
      </w:r>
      <w:r w:rsidRPr="00280290">
        <w:rPr>
          <w:i/>
        </w:rPr>
        <w:t>An International Review of Legal Provisions and Supports for People with Disabilities as Victims of Crime</w:t>
      </w:r>
      <w:r w:rsidRPr="00280290">
        <w:t>, Irish Council for Civi</w:t>
      </w:r>
      <w:r>
        <w:t xml:space="preserve">l Liberties (December 2013). </w:t>
      </w:r>
      <w:proofErr w:type="gramStart"/>
      <w:r>
        <w:t>S</w:t>
      </w:r>
      <w:r w:rsidRPr="00280290">
        <w:t xml:space="preserve">2-3 </w:t>
      </w:r>
      <w:r w:rsidRPr="00420439">
        <w:t>Criminal Justice (Withholding of Information on Offences against Children and Vulnerable Persons) Act</w:t>
      </w:r>
      <w:r w:rsidRPr="00280290">
        <w:t xml:space="preserve"> 2012.</w:t>
      </w:r>
      <w:proofErr w:type="gramEnd"/>
    </w:p>
  </w:footnote>
  <w:footnote w:id="196">
    <w:p w14:paraId="717F18D9" w14:textId="77777777" w:rsidR="006C1607" w:rsidRPr="00D1494E" w:rsidRDefault="006C1607" w:rsidP="00181E40">
      <w:pPr>
        <w:pStyle w:val="FootnoteText"/>
        <w:rPr>
          <w:lang w:val="en-US"/>
        </w:rPr>
      </w:pPr>
      <w:r w:rsidRPr="00280290">
        <w:rPr>
          <w:rStyle w:val="FootnoteReference"/>
        </w:rPr>
        <w:footnoteRef/>
      </w:r>
      <w:r>
        <w:t xml:space="preserve"> Central Statistics Office, </w:t>
      </w:r>
      <w:r w:rsidRPr="00420439">
        <w:rPr>
          <w:i/>
        </w:rPr>
        <w:t>Crime and Victimisation Quarterly National Household Survey</w:t>
      </w:r>
      <w:r>
        <w:rPr>
          <w:i/>
        </w:rPr>
        <w:t xml:space="preserve">. </w:t>
      </w:r>
      <w:proofErr w:type="gramStart"/>
      <w:r>
        <w:t xml:space="preserve">Available at </w:t>
      </w:r>
      <w:r w:rsidRPr="00280290">
        <w:t>&lt;http://www.cso.ie/en/media/csoie/releasespublications/documents/crimejustice/current/crimeandvictimisation_qnhs2010.pdf&gt;</w:t>
      </w:r>
      <w:r>
        <w:rPr>
          <w:lang w:val="en-US"/>
        </w:rPr>
        <w:t xml:space="preserve">(last </w:t>
      </w:r>
      <w:r>
        <w:t>accessed 14 August 2013</w:t>
      </w:r>
      <w:r>
        <w:rPr>
          <w:lang w:val="en-US"/>
        </w:rPr>
        <w:t>).</w:t>
      </w:r>
      <w:proofErr w:type="gramEnd"/>
    </w:p>
  </w:footnote>
  <w:footnote w:id="197">
    <w:p w14:paraId="33E9383D" w14:textId="77777777" w:rsidR="006C1607" w:rsidRPr="00D1494E" w:rsidRDefault="006C1607" w:rsidP="00181E40">
      <w:pPr>
        <w:pStyle w:val="FootnoteText"/>
        <w:rPr>
          <w:lang w:val="en-US"/>
        </w:rPr>
      </w:pPr>
      <w:r w:rsidRPr="00280290">
        <w:rPr>
          <w:rStyle w:val="FootnoteReference"/>
        </w:rPr>
        <w:footnoteRef/>
      </w:r>
      <w:r w:rsidRPr="00280290">
        <w:t xml:space="preserve"> Central Statistics Office, </w:t>
      </w:r>
      <w:r w:rsidRPr="00420439">
        <w:rPr>
          <w:i/>
        </w:rPr>
        <w:t>Crime and Victimisation Quarterly National Household Survey</w:t>
      </w:r>
      <w:r>
        <w:rPr>
          <w:i/>
        </w:rPr>
        <w:t>.</w:t>
      </w:r>
      <w:r>
        <w:t xml:space="preserve"> </w:t>
      </w:r>
      <w:proofErr w:type="gramStart"/>
      <w:r>
        <w:t xml:space="preserve">Available at </w:t>
      </w:r>
      <w:r w:rsidRPr="00280290">
        <w:t>&lt;http://www.cso.ie/en/media/csoie/releasespublications/documents/crimejustice/current/crimeandvictimisation_qnhs20</w:t>
      </w:r>
      <w:r>
        <w:t>10.pdf&gt;</w:t>
      </w:r>
      <w:r>
        <w:rPr>
          <w:lang w:val="en-US"/>
        </w:rPr>
        <w:t>(</w:t>
      </w:r>
      <w:r>
        <w:t>accessed 14 August 2013).</w:t>
      </w:r>
      <w:proofErr w:type="gramEnd"/>
    </w:p>
  </w:footnote>
  <w:footnote w:id="198">
    <w:p w14:paraId="151F5C4C" w14:textId="77777777" w:rsidR="006C1607" w:rsidRPr="00280290" w:rsidRDefault="006C1607" w:rsidP="00181E40">
      <w:pPr>
        <w:pStyle w:val="FootnoteText"/>
      </w:pPr>
      <w:r w:rsidRPr="00280290">
        <w:rPr>
          <w:rStyle w:val="FootnoteReference"/>
        </w:rPr>
        <w:footnoteRef/>
      </w:r>
      <w:r w:rsidRPr="00280290">
        <w:t xml:space="preserve"> Claire Edwards </w:t>
      </w:r>
      <w:r>
        <w:t xml:space="preserve">et al </w:t>
      </w:r>
      <w:r w:rsidRPr="00280290">
        <w:rPr>
          <w:i/>
        </w:rPr>
        <w:t>Access to Justice for People with Disabilities as Victims of Crime in Ireland</w:t>
      </w:r>
      <w:r w:rsidRPr="00280290">
        <w:t>, School of Applied Social Studies and Centre for Criminal Justice and Human Rights, Faculty of Law, University College Cork, (February 2012)</w:t>
      </w:r>
      <w:r>
        <w:t xml:space="preserve"> </w:t>
      </w:r>
      <w:r w:rsidRPr="00280290">
        <w:t xml:space="preserve">3. </w:t>
      </w:r>
    </w:p>
  </w:footnote>
  <w:footnote w:id="199">
    <w:p w14:paraId="6F2484CE" w14:textId="77777777" w:rsidR="006C1607" w:rsidRPr="00280290" w:rsidRDefault="006C1607" w:rsidP="00181E40">
      <w:pPr>
        <w:pStyle w:val="FootnoteText"/>
      </w:pPr>
      <w:r w:rsidRPr="00280290">
        <w:rPr>
          <w:rStyle w:val="FootnoteReference"/>
        </w:rPr>
        <w:footnoteRef/>
      </w:r>
      <w:r w:rsidRPr="00280290">
        <w:t xml:space="preserve"> Helen Bartlett and Elaine Mears, </w:t>
      </w:r>
      <w:r w:rsidRPr="00280290">
        <w:rPr>
          <w:i/>
        </w:rPr>
        <w:t>Sexual Violence Against People with Disabilities: Data collection and barriers to disclosure</w:t>
      </w:r>
      <w:r w:rsidRPr="00280290">
        <w:t>, Rape Crisis Network Ireland, (October 2011) 25.</w:t>
      </w:r>
    </w:p>
  </w:footnote>
  <w:footnote w:id="200">
    <w:p w14:paraId="6707D1B0" w14:textId="77777777" w:rsidR="006C1607" w:rsidRPr="00280290" w:rsidRDefault="006C1607" w:rsidP="00C47FDB">
      <w:pPr>
        <w:pStyle w:val="FootnoteText"/>
      </w:pPr>
      <w:r w:rsidRPr="00280290">
        <w:rPr>
          <w:rStyle w:val="FootnoteReference"/>
        </w:rPr>
        <w:footnoteRef/>
      </w:r>
      <w:r w:rsidRPr="00280290">
        <w:t xml:space="preserve"> Helen Bartlett and Elaine Mears, </w:t>
      </w:r>
      <w:r w:rsidRPr="00280290">
        <w:rPr>
          <w:i/>
        </w:rPr>
        <w:t>Sexual Violence Against People with Disabilities: Data collection and barriers to disclosure</w:t>
      </w:r>
      <w:r w:rsidRPr="00280290">
        <w:t>, Rape Crisis Network Ireland, (October 2011) 120.</w:t>
      </w:r>
    </w:p>
  </w:footnote>
  <w:footnote w:id="201">
    <w:p w14:paraId="32043AB5" w14:textId="77777777" w:rsidR="006C1607" w:rsidRPr="00280290" w:rsidRDefault="006C1607" w:rsidP="004310C8">
      <w:pPr>
        <w:pStyle w:val="FootnoteText"/>
      </w:pPr>
      <w:r w:rsidRPr="00280290">
        <w:rPr>
          <w:rStyle w:val="FootnoteReference"/>
        </w:rPr>
        <w:footnoteRef/>
      </w:r>
      <w:r w:rsidRPr="00280290">
        <w:t xml:space="preserve"> Helen Bartlett and Elaine Mears, </w:t>
      </w:r>
      <w:r w:rsidRPr="00280290">
        <w:rPr>
          <w:i/>
        </w:rPr>
        <w:t>Sexual Violence Against People with Disabilities: Data collection and barriers to disclosure</w:t>
      </w:r>
      <w:r w:rsidRPr="00280290">
        <w:t>, Rape Crisis Network Ireland, (October 2011) 121.</w:t>
      </w:r>
    </w:p>
  </w:footnote>
  <w:footnote w:id="202">
    <w:p w14:paraId="674D0F90" w14:textId="77777777" w:rsidR="006C1607" w:rsidRPr="00280290" w:rsidRDefault="006C1607" w:rsidP="003912B7">
      <w:pPr>
        <w:pStyle w:val="FootnoteText"/>
      </w:pPr>
      <w:r w:rsidRPr="00280290">
        <w:rPr>
          <w:rStyle w:val="FootnoteReference"/>
        </w:rPr>
        <w:footnoteRef/>
      </w:r>
      <w:r w:rsidRPr="00280290">
        <w:t xml:space="preserve"> Claire Edwards </w:t>
      </w:r>
      <w:r>
        <w:t xml:space="preserve">et al </w:t>
      </w:r>
      <w:r w:rsidRPr="00280290">
        <w:rPr>
          <w:i/>
        </w:rPr>
        <w:t>Access to Justice for People with Disabilities as Victims of Crime in Ireland</w:t>
      </w:r>
      <w:r w:rsidRPr="00280290">
        <w:t>, School of Applied Social Studies and Centre for Criminal Justice and Human Rights, Faculty of Law, University College Cork, (February 2012).</w:t>
      </w:r>
    </w:p>
  </w:footnote>
  <w:footnote w:id="203">
    <w:p w14:paraId="125AF10A" w14:textId="77777777" w:rsidR="006C1607" w:rsidRPr="00280290" w:rsidRDefault="006C1607" w:rsidP="003912B7">
      <w:pPr>
        <w:pStyle w:val="FootnoteText"/>
      </w:pPr>
      <w:r w:rsidRPr="00280290">
        <w:rPr>
          <w:rStyle w:val="FootnoteReference"/>
        </w:rPr>
        <w:footnoteRef/>
      </w:r>
      <w:r>
        <w:t xml:space="preserve"> See for example </w:t>
      </w:r>
      <w:r w:rsidRPr="00280290">
        <w:t>An Garda Síochána, ‘Children an</w:t>
      </w:r>
      <w:r>
        <w:t xml:space="preserve">d Youth Strategy’ (2012-2014). </w:t>
      </w:r>
      <w:proofErr w:type="gramStart"/>
      <w:r>
        <w:t>Available at &lt;</w:t>
      </w:r>
      <w:r w:rsidRPr="00280290">
        <w:t>http://www.garda.ie/Documents/User/AGS%20Children%20&amp;%20Youth%20Strategy%202012-2014.pdf&gt;</w:t>
      </w:r>
      <w:r>
        <w:rPr>
          <w:lang w:val="en-US"/>
        </w:rPr>
        <w:t xml:space="preserve">(last </w:t>
      </w:r>
      <w:r w:rsidRPr="00280290">
        <w:t>accessed 20 August 2014</w:t>
      </w:r>
      <w:r>
        <w:rPr>
          <w:lang w:val="en-US"/>
        </w:rPr>
        <w:t>)</w:t>
      </w:r>
      <w:r w:rsidRPr="00280290">
        <w:t>.</w:t>
      </w:r>
      <w:proofErr w:type="gramEnd"/>
    </w:p>
  </w:footnote>
  <w:footnote w:id="204">
    <w:p w14:paraId="45DDCB6C" w14:textId="77777777" w:rsidR="006C1607" w:rsidRPr="00280290" w:rsidRDefault="006C1607" w:rsidP="003912B7">
      <w:pPr>
        <w:pStyle w:val="FootnoteText"/>
      </w:pPr>
      <w:r w:rsidRPr="00280290">
        <w:rPr>
          <w:rStyle w:val="FootnoteReference"/>
        </w:rPr>
        <w:footnoteRef/>
      </w:r>
      <w:r w:rsidRPr="00280290">
        <w:t xml:space="preserve"> Shane Kilcommins </w:t>
      </w:r>
      <w:r>
        <w:t>et</w:t>
      </w:r>
      <w:r w:rsidRPr="00420439">
        <w:t xml:space="preserve"> al</w:t>
      </w:r>
      <w:r>
        <w:t xml:space="preserve"> </w:t>
      </w:r>
      <w:r w:rsidRPr="00280290">
        <w:rPr>
          <w:i/>
        </w:rPr>
        <w:t>An International Review of Legal Provisions and Supports for People with Disabilities as Victims of Crime</w:t>
      </w:r>
      <w:r w:rsidRPr="00280290">
        <w:t>, Irish Council for Civil Liberties (December 2013).</w:t>
      </w:r>
    </w:p>
  </w:footnote>
  <w:footnote w:id="205">
    <w:p w14:paraId="68D1D050" w14:textId="77777777" w:rsidR="006C1607" w:rsidRPr="00280290" w:rsidRDefault="006C1607" w:rsidP="003912B7">
      <w:pPr>
        <w:pStyle w:val="FootnoteText"/>
      </w:pPr>
      <w:r w:rsidRPr="00280290">
        <w:rPr>
          <w:rStyle w:val="FootnoteReference"/>
        </w:rPr>
        <w:footnoteRef/>
      </w:r>
      <w:r w:rsidRPr="00280290">
        <w:t xml:space="preserve"> Shane Kilcommins </w:t>
      </w:r>
      <w:r>
        <w:t>et</w:t>
      </w:r>
      <w:r w:rsidRPr="00420439">
        <w:t xml:space="preserve"> al</w:t>
      </w:r>
      <w:r>
        <w:t xml:space="preserve"> </w:t>
      </w:r>
      <w:r w:rsidRPr="00280290">
        <w:rPr>
          <w:i/>
        </w:rPr>
        <w:t>An International Review of Legal Provisions and Supports for People with Disabilities as Victims of Crime</w:t>
      </w:r>
      <w:r w:rsidRPr="00280290">
        <w:t>, Irish Council for Civil Liberties (December 2013) 37-48.</w:t>
      </w:r>
    </w:p>
  </w:footnote>
  <w:footnote w:id="206">
    <w:p w14:paraId="54318459" w14:textId="77777777" w:rsidR="006C1607" w:rsidRPr="00280290" w:rsidRDefault="006C1607" w:rsidP="001149FA">
      <w:pPr>
        <w:pStyle w:val="FootnoteText"/>
      </w:pPr>
      <w:r w:rsidRPr="00280290">
        <w:rPr>
          <w:rStyle w:val="FootnoteReference"/>
        </w:rPr>
        <w:footnoteRef/>
      </w:r>
      <w:r>
        <w:t xml:space="preserve"> </w:t>
      </w:r>
      <w:proofErr w:type="gramStart"/>
      <w:r>
        <w:t>S</w:t>
      </w:r>
      <w:r w:rsidRPr="00280290">
        <w:t>55 Children Act 2001.</w:t>
      </w:r>
      <w:proofErr w:type="gramEnd"/>
    </w:p>
  </w:footnote>
  <w:footnote w:id="207">
    <w:p w14:paraId="0AAF2AC5" w14:textId="77777777" w:rsidR="006C1607" w:rsidRPr="00280290" w:rsidRDefault="006C1607" w:rsidP="00D12FE6">
      <w:pPr>
        <w:pStyle w:val="FootnoteText"/>
      </w:pPr>
      <w:r w:rsidRPr="00280290">
        <w:rPr>
          <w:rStyle w:val="FootnoteReference"/>
        </w:rPr>
        <w:footnoteRef/>
      </w:r>
      <w:r w:rsidRPr="00280290">
        <w:t xml:space="preserve"> Department of Justice and Law Reform, ‘Victim’s Charter and Guide to Criminal Justice System’ (June 2010) 21.</w:t>
      </w:r>
    </w:p>
  </w:footnote>
  <w:footnote w:id="208">
    <w:p w14:paraId="7D087246" w14:textId="77777777" w:rsidR="006C1607" w:rsidRPr="00280290" w:rsidRDefault="006C1607" w:rsidP="00D12FE6">
      <w:pPr>
        <w:pStyle w:val="FootnoteText"/>
      </w:pPr>
      <w:r w:rsidRPr="00280290">
        <w:rPr>
          <w:rStyle w:val="FootnoteReference"/>
        </w:rPr>
        <w:footnoteRef/>
      </w:r>
      <w:r w:rsidRPr="00280290">
        <w:t xml:space="preserve"> Department of Justice and Law Reform, ‘Victim’s Charter and Guide to Criminal Justice System’ (June 2010) 17.</w:t>
      </w:r>
    </w:p>
  </w:footnote>
  <w:footnote w:id="209">
    <w:p w14:paraId="4814D5CD" w14:textId="77777777" w:rsidR="006C1607" w:rsidRPr="00280290" w:rsidRDefault="006C1607" w:rsidP="006B7F10">
      <w:pPr>
        <w:pStyle w:val="FootnoteText"/>
      </w:pPr>
      <w:r w:rsidRPr="00280290">
        <w:rPr>
          <w:rStyle w:val="FootnoteReference"/>
        </w:rPr>
        <w:footnoteRef/>
      </w:r>
      <w:r>
        <w:t xml:space="preserve"> Directive 2012/29/EU </w:t>
      </w:r>
      <w:r w:rsidRPr="00280290">
        <w:t>establishing the minimum standards on the rights, support and protection of victims of crime (25 October 2012).</w:t>
      </w:r>
    </w:p>
  </w:footnote>
  <w:footnote w:id="210">
    <w:p w14:paraId="625AE260" w14:textId="77777777" w:rsidR="006C1607" w:rsidRPr="00280290" w:rsidRDefault="006C1607" w:rsidP="006B7F10">
      <w:pPr>
        <w:pStyle w:val="FootnoteText"/>
      </w:pPr>
      <w:r w:rsidRPr="00280290">
        <w:rPr>
          <w:rStyle w:val="FootnoteReference"/>
        </w:rPr>
        <w:footnoteRef/>
      </w:r>
      <w:r w:rsidRPr="00280290">
        <w:t xml:space="preserve"> Interview with Victims’ Rights Expert conducted by Jenni Kline on 21 March 2014.</w:t>
      </w:r>
    </w:p>
  </w:footnote>
  <w:footnote w:id="211">
    <w:p w14:paraId="53AB72F6" w14:textId="77777777" w:rsidR="006C1607" w:rsidRPr="00280290" w:rsidRDefault="006C1607" w:rsidP="00D12FE6">
      <w:pPr>
        <w:pStyle w:val="FootnoteText"/>
      </w:pPr>
      <w:r w:rsidRPr="00280290">
        <w:rPr>
          <w:rStyle w:val="FootnoteReference"/>
        </w:rPr>
        <w:footnoteRef/>
      </w:r>
      <w:r>
        <w:rPr>
          <w:lang w:val="en-US"/>
        </w:rPr>
        <w:t xml:space="preserve"> </w:t>
      </w:r>
      <w:proofErr w:type="gramStart"/>
      <w:r>
        <w:rPr>
          <w:lang w:val="en-US"/>
        </w:rPr>
        <w:t>S</w:t>
      </w:r>
      <w:r>
        <w:t>3(</w:t>
      </w:r>
      <w:proofErr w:type="gramEnd"/>
      <w:r>
        <w:t xml:space="preserve">1) </w:t>
      </w:r>
      <w:r w:rsidRPr="00280290">
        <w:t xml:space="preserve">Prosecution Offences Act 1974. </w:t>
      </w:r>
    </w:p>
  </w:footnote>
  <w:footnote w:id="212">
    <w:p w14:paraId="73662B65" w14:textId="77777777" w:rsidR="006C1607" w:rsidRPr="00280290" w:rsidRDefault="006C1607" w:rsidP="00D12FE6">
      <w:pPr>
        <w:pStyle w:val="FootnoteText"/>
      </w:pPr>
      <w:r w:rsidRPr="00280290">
        <w:rPr>
          <w:rStyle w:val="FootnoteReference"/>
        </w:rPr>
        <w:footnoteRef/>
      </w:r>
      <w:r w:rsidRPr="00280290">
        <w:t xml:space="preserve"> </w:t>
      </w:r>
      <w:proofErr w:type="gramStart"/>
      <w:r w:rsidRPr="00280290">
        <w:t>Office of the Director of Public Prosecutions, ‘Guidelines for Prosecutors’  (November 2010) 18.</w:t>
      </w:r>
      <w:proofErr w:type="gramEnd"/>
      <w:r w:rsidRPr="00280290">
        <w:t xml:space="preserve"> </w:t>
      </w:r>
      <w:proofErr w:type="gramStart"/>
      <w:r>
        <w:t xml:space="preserve">Available at </w:t>
      </w:r>
      <w:r w:rsidRPr="00280290">
        <w:t>&lt;http://www.dppireland.ie/filestore/documents/GUIDELINES_-_Revised_NOV_2010_eng.pdf&gt;</w:t>
      </w:r>
      <w:r>
        <w:t xml:space="preserve">(last </w:t>
      </w:r>
      <w:r w:rsidRPr="00280290">
        <w:t>accessed 14 August 2013</w:t>
      </w:r>
      <w:r>
        <w:t>)</w:t>
      </w:r>
      <w:r w:rsidRPr="00280290">
        <w:t>.</w:t>
      </w:r>
      <w:proofErr w:type="gramEnd"/>
    </w:p>
  </w:footnote>
  <w:footnote w:id="213">
    <w:p w14:paraId="319BAE57" w14:textId="77777777" w:rsidR="006C1607" w:rsidRPr="00280290" w:rsidRDefault="006C1607" w:rsidP="00D12FE6">
      <w:pPr>
        <w:pStyle w:val="FootnoteText"/>
      </w:pPr>
      <w:r w:rsidRPr="00280290">
        <w:rPr>
          <w:rStyle w:val="FootnoteReference"/>
        </w:rPr>
        <w:footnoteRef/>
      </w:r>
      <w:r w:rsidRPr="00280290">
        <w:t xml:space="preserve"> </w:t>
      </w:r>
      <w:proofErr w:type="gramStart"/>
      <w:r w:rsidRPr="00280290">
        <w:t>Office of the Director of Public Prosecutions, ‘Guidelines for Prosecutors’  (November 2010) 18.</w:t>
      </w:r>
      <w:proofErr w:type="gramEnd"/>
      <w:r w:rsidRPr="00280290">
        <w:t xml:space="preserve"> </w:t>
      </w:r>
      <w:proofErr w:type="gramStart"/>
      <w:r>
        <w:t xml:space="preserve">Available at </w:t>
      </w:r>
      <w:r w:rsidRPr="00280290">
        <w:t>&lt;http://www.dppireland.ie/filestore/documents/GUIDELINES_-_Revised_NOV_2010_eng.pdf&gt;</w:t>
      </w:r>
      <w:r>
        <w:t xml:space="preserve">(last </w:t>
      </w:r>
      <w:r w:rsidRPr="00280290">
        <w:t>accessed 14 August 2013</w:t>
      </w:r>
      <w:r>
        <w:t>)</w:t>
      </w:r>
      <w:r w:rsidRPr="00280290">
        <w:t>.</w:t>
      </w:r>
      <w:proofErr w:type="gramEnd"/>
    </w:p>
  </w:footnote>
  <w:footnote w:id="214">
    <w:p w14:paraId="3C7C01C5" w14:textId="77777777" w:rsidR="006C1607" w:rsidRPr="00280290" w:rsidRDefault="006C1607" w:rsidP="00D12FE6">
      <w:pPr>
        <w:pStyle w:val="FootnoteText"/>
      </w:pPr>
      <w:r w:rsidRPr="00280290">
        <w:rPr>
          <w:rStyle w:val="FootnoteReference"/>
        </w:rPr>
        <w:footnoteRef/>
      </w:r>
      <w:r w:rsidRPr="00280290">
        <w:t xml:space="preserve"> </w:t>
      </w:r>
      <w:proofErr w:type="gramStart"/>
      <w:r w:rsidRPr="00280290">
        <w:t>Office of the Director of Public Prosecutions, ‘Guidelines for Prosecutors’  (November 2010) 18.</w:t>
      </w:r>
      <w:proofErr w:type="gramEnd"/>
      <w:r w:rsidRPr="00280290">
        <w:t xml:space="preserve"> </w:t>
      </w:r>
      <w:proofErr w:type="gramStart"/>
      <w:r>
        <w:t xml:space="preserve">Available at </w:t>
      </w:r>
      <w:r w:rsidRPr="00280290">
        <w:t>&lt;http://www.dppireland.ie/filestore/documents/GUIDELINES_-_Revised_NOV_2010_eng.pdf&gt;</w:t>
      </w:r>
      <w:r>
        <w:t xml:space="preserve">(last </w:t>
      </w:r>
      <w:r w:rsidRPr="00280290">
        <w:t>accessed 14 August 2013</w:t>
      </w:r>
      <w:r>
        <w:t>)</w:t>
      </w:r>
      <w:r w:rsidRPr="00280290">
        <w:t>.</w:t>
      </w:r>
      <w:proofErr w:type="gramEnd"/>
    </w:p>
  </w:footnote>
  <w:footnote w:id="215">
    <w:p w14:paraId="7C5CA4F3" w14:textId="77777777" w:rsidR="006C1607" w:rsidRPr="00280290" w:rsidRDefault="006C1607" w:rsidP="00D12FE6">
      <w:pPr>
        <w:pStyle w:val="FootnoteText"/>
      </w:pPr>
      <w:r w:rsidRPr="00280290">
        <w:rPr>
          <w:rStyle w:val="FootnoteReference"/>
        </w:rPr>
        <w:footnoteRef/>
      </w:r>
      <w:r>
        <w:t xml:space="preserve"> </w:t>
      </w:r>
      <w:proofErr w:type="gramStart"/>
      <w:r w:rsidRPr="00280290">
        <w:t>An</w:t>
      </w:r>
      <w:proofErr w:type="gramEnd"/>
      <w:r w:rsidRPr="00280290">
        <w:t xml:space="preserve"> Garda Síochána, ‘Youth and Child</w:t>
      </w:r>
      <w:r>
        <w:t xml:space="preserve">ren Strategy 2009-2011’ (2009) </w:t>
      </w:r>
      <w:r w:rsidRPr="00280290">
        <w:t>19.</w:t>
      </w:r>
    </w:p>
  </w:footnote>
  <w:footnote w:id="216">
    <w:p w14:paraId="0930FBF0" w14:textId="77777777" w:rsidR="006C1607" w:rsidRPr="00280290" w:rsidRDefault="006C1607" w:rsidP="00D12FE6">
      <w:pPr>
        <w:pStyle w:val="FootnoteText"/>
      </w:pPr>
      <w:r w:rsidRPr="00280290">
        <w:rPr>
          <w:rStyle w:val="FootnoteReference"/>
        </w:rPr>
        <w:footnoteRef/>
      </w:r>
      <w:r>
        <w:t xml:space="preserve"> </w:t>
      </w:r>
      <w:proofErr w:type="gramStart"/>
      <w:r w:rsidRPr="00280290">
        <w:t>An</w:t>
      </w:r>
      <w:proofErr w:type="gramEnd"/>
      <w:r w:rsidRPr="00280290">
        <w:t xml:space="preserve"> Garda Síochána, ‘Youth and Children Strategy 2012-2014’ (2012).</w:t>
      </w:r>
    </w:p>
  </w:footnote>
  <w:footnote w:id="217">
    <w:p w14:paraId="373DCAD4" w14:textId="77777777" w:rsidR="006C1607" w:rsidRPr="00280290" w:rsidRDefault="006C1607" w:rsidP="00D12FE6">
      <w:pPr>
        <w:pStyle w:val="FootnoteText"/>
      </w:pPr>
      <w:r w:rsidRPr="00280290">
        <w:rPr>
          <w:rStyle w:val="FootnoteReference"/>
        </w:rPr>
        <w:footnoteRef/>
      </w:r>
      <w:r w:rsidRPr="00280290">
        <w:t xml:space="preserve"> </w:t>
      </w:r>
      <w:proofErr w:type="gramStart"/>
      <w:r w:rsidRPr="00280290">
        <w:t>Miriam Delahunt, ‘Video Evidence and s.16 (1)(b) of the Criminal Evidence Act 199</w:t>
      </w:r>
      <w:r>
        <w:t xml:space="preserve">2’ </w:t>
      </w:r>
      <w:r w:rsidRPr="00420439">
        <w:rPr>
          <w:i/>
        </w:rPr>
        <w:t>Bar Review</w:t>
      </w:r>
      <w:r>
        <w:t xml:space="preserve"> (February 2011)</w:t>
      </w:r>
      <w:r w:rsidRPr="00280290">
        <w:t xml:space="preserve"> 5.</w:t>
      </w:r>
      <w:proofErr w:type="gramEnd"/>
    </w:p>
  </w:footnote>
  <w:footnote w:id="218">
    <w:p w14:paraId="589AFA09" w14:textId="77777777" w:rsidR="006C1607" w:rsidRPr="00280290" w:rsidRDefault="006C1607" w:rsidP="00D12FE6">
      <w:pPr>
        <w:pStyle w:val="FootnoteText"/>
      </w:pPr>
      <w:r w:rsidRPr="00280290">
        <w:rPr>
          <w:rStyle w:val="FootnoteReference"/>
        </w:rPr>
        <w:footnoteRef/>
      </w:r>
      <w:r>
        <w:t xml:space="preserve"> </w:t>
      </w:r>
      <w:proofErr w:type="gramStart"/>
      <w:r>
        <w:t>S16(</w:t>
      </w:r>
      <w:proofErr w:type="gramEnd"/>
      <w:r>
        <w:t>1)(b) Criminal Evidence Act 1999:</w:t>
      </w:r>
      <w:r w:rsidRPr="00280290">
        <w:t>Una Ni Rai</w:t>
      </w:r>
      <w:r>
        <w:t>f</w:t>
      </w:r>
      <w:r w:rsidRPr="00280290">
        <w:t>eartaigh</w:t>
      </w:r>
      <w:r>
        <w:t xml:space="preserve"> </w:t>
      </w:r>
      <w:r w:rsidRPr="00280290">
        <w:rPr>
          <w:i/>
        </w:rPr>
        <w:t>Child Sexual Abuse Cases: The Need for Cultural Change within the Criminal Justice System</w:t>
      </w:r>
      <w:r w:rsidRPr="00280290">
        <w:t xml:space="preserve">, </w:t>
      </w:r>
      <w:r>
        <w:t xml:space="preserve">unpublished article </w:t>
      </w:r>
      <w:r w:rsidRPr="00280290">
        <w:t>b</w:t>
      </w:r>
      <w:r>
        <w:t>a</w:t>
      </w:r>
      <w:r w:rsidRPr="00280290">
        <w:t>sed on papers given by the author at a joint DPP-St. Louise’s Unit, Crumlin Hospital conference on Child Witness in November 2008, and an Irish Criminal Bar Association seminar in July 2008, respectively (2008).</w:t>
      </w:r>
    </w:p>
  </w:footnote>
  <w:footnote w:id="219">
    <w:p w14:paraId="4C770F00" w14:textId="77777777" w:rsidR="006C1607" w:rsidRPr="00280290" w:rsidRDefault="006C1607" w:rsidP="00D12FE6">
      <w:pPr>
        <w:pStyle w:val="FootnoteText"/>
      </w:pPr>
      <w:r w:rsidRPr="00280290">
        <w:rPr>
          <w:rStyle w:val="FootnoteReference"/>
        </w:rPr>
        <w:footnoteRef/>
      </w:r>
      <w:r w:rsidRPr="00280290">
        <w:t xml:space="preserve"> </w:t>
      </w:r>
      <w:proofErr w:type="gramStart"/>
      <w:r w:rsidRPr="00280290">
        <w:t xml:space="preserve">Miriam Delahunt, </w:t>
      </w:r>
      <w:r w:rsidRPr="00280290">
        <w:rPr>
          <w:i/>
        </w:rPr>
        <w:t>Improved measures needed for vulnerable witnesses in court</w:t>
      </w:r>
      <w:r w:rsidRPr="00280290">
        <w:t>, Irish Times 7 December 2010.</w:t>
      </w:r>
      <w:proofErr w:type="gramEnd"/>
    </w:p>
  </w:footnote>
  <w:footnote w:id="220">
    <w:p w14:paraId="0E8743C7" w14:textId="77777777" w:rsidR="006C1607" w:rsidRPr="00280290" w:rsidRDefault="006C1607" w:rsidP="001149FA">
      <w:pPr>
        <w:pStyle w:val="FootnoteText"/>
      </w:pPr>
      <w:r w:rsidRPr="00280290">
        <w:rPr>
          <w:rStyle w:val="FootnoteReference"/>
        </w:rPr>
        <w:footnoteRef/>
      </w:r>
      <w:r>
        <w:t xml:space="preserve"> </w:t>
      </w:r>
      <w:proofErr w:type="gramStart"/>
      <w:r w:rsidRPr="00280290">
        <w:t xml:space="preserve">Victim Support at Court, </w:t>
      </w:r>
      <w:r w:rsidRPr="00280290">
        <w:rPr>
          <w:i/>
        </w:rPr>
        <w:t>What we offer</w:t>
      </w:r>
      <w:r>
        <w:t>.</w:t>
      </w:r>
      <w:proofErr w:type="gramEnd"/>
      <w:r>
        <w:t xml:space="preserve"> </w:t>
      </w:r>
      <w:proofErr w:type="gramStart"/>
      <w:r>
        <w:t>Available at &lt;</w:t>
      </w:r>
      <w:r w:rsidRPr="00280290">
        <w:t>http://www.</w:t>
      </w:r>
      <w:r>
        <w:t>vsac.ie/what-we-offer/&gt; (last accessed</w:t>
      </w:r>
      <w:r w:rsidRPr="00280290">
        <w:t xml:space="preserve"> 28 October 2013</w:t>
      </w:r>
      <w:r>
        <w:t>)</w:t>
      </w:r>
      <w:r w:rsidRPr="00280290">
        <w:t>.</w:t>
      </w:r>
      <w:proofErr w:type="gramEnd"/>
    </w:p>
  </w:footnote>
  <w:footnote w:id="221">
    <w:p w14:paraId="763FD56C" w14:textId="77777777" w:rsidR="006C1607" w:rsidRPr="00280290" w:rsidRDefault="006C1607" w:rsidP="001149FA">
      <w:pPr>
        <w:pStyle w:val="FootnoteText"/>
      </w:pPr>
      <w:r w:rsidRPr="00280290">
        <w:rPr>
          <w:rStyle w:val="FootnoteReference"/>
        </w:rPr>
        <w:footnoteRef/>
      </w:r>
      <w:r w:rsidRPr="00280290">
        <w:t xml:space="preserve"> Interview with Expert on Victims’ rights conducted by Jenni Kline on 21 March 2014.</w:t>
      </w:r>
    </w:p>
  </w:footnote>
  <w:footnote w:id="222">
    <w:p w14:paraId="09EB8FEA" w14:textId="77777777" w:rsidR="006C1607" w:rsidRPr="00280290" w:rsidRDefault="006C1607" w:rsidP="00181E40">
      <w:pPr>
        <w:pStyle w:val="FootnoteText"/>
      </w:pPr>
      <w:r w:rsidRPr="00280290">
        <w:rPr>
          <w:rStyle w:val="FootnoteReference"/>
        </w:rPr>
        <w:footnoteRef/>
      </w:r>
      <w:r>
        <w:t xml:space="preserve"> </w:t>
      </w:r>
      <w:proofErr w:type="gramStart"/>
      <w:r w:rsidRPr="00280290">
        <w:t>Department of Skills and Education, ‘Child Protection Procedures for Primary and Post- Primary Schools’ (2011) 8.</w:t>
      </w:r>
      <w:proofErr w:type="gramEnd"/>
      <w:r>
        <w:t xml:space="preserve"> </w:t>
      </w:r>
      <w:proofErr w:type="gramStart"/>
      <w:r w:rsidRPr="00C66D99">
        <w:rPr>
          <w:lang w:val="en-US"/>
        </w:rPr>
        <w:t>Available at</w:t>
      </w:r>
      <w:r>
        <w:rPr>
          <w:i/>
          <w:lang w:val="en-US"/>
        </w:rPr>
        <w:t xml:space="preserve"> </w:t>
      </w:r>
      <w:r>
        <w:t>&lt;</w:t>
      </w:r>
      <w:r w:rsidRPr="00280290">
        <w:t>http://www.pdst.ie/sites/default/files/CP_procedures_primary_post_primary_2011.pdf&gt;</w:t>
      </w:r>
      <w:r>
        <w:t xml:space="preserve"> </w:t>
      </w:r>
      <w:r>
        <w:rPr>
          <w:lang w:val="en-US"/>
        </w:rPr>
        <w:t xml:space="preserve">(last </w:t>
      </w:r>
      <w:r w:rsidRPr="00280290">
        <w:t>accessed 14 August 2013</w:t>
      </w:r>
      <w:r>
        <w:rPr>
          <w:lang w:val="en-US"/>
        </w:rPr>
        <w:t>)</w:t>
      </w:r>
      <w:r w:rsidRPr="00280290">
        <w:t>.</w:t>
      </w:r>
      <w:proofErr w:type="gramEnd"/>
    </w:p>
  </w:footnote>
  <w:footnote w:id="223">
    <w:p w14:paraId="2CFCCB44" w14:textId="77777777" w:rsidR="006C1607" w:rsidRPr="00280290" w:rsidRDefault="006C1607" w:rsidP="00181E40">
      <w:pPr>
        <w:pStyle w:val="FootnoteText"/>
      </w:pPr>
      <w:r w:rsidRPr="00280290">
        <w:rPr>
          <w:rStyle w:val="FootnoteReference"/>
        </w:rPr>
        <w:footnoteRef/>
      </w:r>
      <w:r w:rsidRPr="00280290">
        <w:t xml:space="preserve"> Stay Safe Programme, ‘What is Stay Safe</w:t>
      </w:r>
      <w:r>
        <w:t>?</w:t>
      </w:r>
      <w:r w:rsidRPr="00280290">
        <w:t>’</w:t>
      </w:r>
      <w:r>
        <w:t xml:space="preserve"> </w:t>
      </w:r>
      <w:proofErr w:type="gramStart"/>
      <w:r>
        <w:t xml:space="preserve">Available at </w:t>
      </w:r>
      <w:r w:rsidRPr="00280290">
        <w:t>&lt;http://www.staysafe.ie/&gt;</w:t>
      </w:r>
      <w:r>
        <w:t xml:space="preserve"> (last </w:t>
      </w:r>
      <w:r w:rsidRPr="00280290">
        <w:t>accessed 14 August 2013</w:t>
      </w:r>
      <w:r>
        <w:t>)</w:t>
      </w:r>
      <w:r w:rsidRPr="00280290">
        <w:t>.</w:t>
      </w:r>
      <w:proofErr w:type="gramEnd"/>
    </w:p>
  </w:footnote>
  <w:footnote w:id="224">
    <w:p w14:paraId="790EBF93" w14:textId="77777777" w:rsidR="006C1607" w:rsidRPr="00280290" w:rsidRDefault="006C1607" w:rsidP="00181E40">
      <w:pPr>
        <w:pStyle w:val="FootnoteText"/>
      </w:pPr>
      <w:r w:rsidRPr="00280290">
        <w:rPr>
          <w:rStyle w:val="FootnoteReference"/>
        </w:rPr>
        <w:footnoteRef/>
      </w:r>
      <w:r>
        <w:t xml:space="preserve"> </w:t>
      </w:r>
      <w:proofErr w:type="gramStart"/>
      <w:r w:rsidRPr="00280290">
        <w:t>SPHE, ‘Social, Personal &amp; Health Education Support Service’</w:t>
      </w:r>
      <w:r>
        <w:t xml:space="preserve"> Available at</w:t>
      </w:r>
      <w:r w:rsidRPr="00280290">
        <w:t>&lt;http://www.sphe.ie/Default.aspx&gt;</w:t>
      </w:r>
      <w:r>
        <w:t xml:space="preserve"> (last </w:t>
      </w:r>
      <w:r w:rsidRPr="00280290">
        <w:t>accessed 14 August 2013</w:t>
      </w:r>
      <w:r>
        <w:t>)</w:t>
      </w:r>
      <w:r w:rsidRPr="00280290">
        <w:t>.</w:t>
      </w:r>
      <w:proofErr w:type="gramEnd"/>
    </w:p>
  </w:footnote>
  <w:footnote w:id="225">
    <w:p w14:paraId="45D85C5E" w14:textId="77777777" w:rsidR="006C1607" w:rsidRPr="00280290" w:rsidRDefault="006C1607" w:rsidP="00ED476B">
      <w:pPr>
        <w:pStyle w:val="FootnoteText"/>
      </w:pPr>
      <w:r w:rsidRPr="00280290">
        <w:rPr>
          <w:rStyle w:val="FootnoteReference"/>
        </w:rPr>
        <w:footnoteRef/>
      </w:r>
      <w:r>
        <w:t xml:space="preserve"> </w:t>
      </w:r>
      <w:r w:rsidRPr="00280290">
        <w:t xml:space="preserve">Dáil Debates, Written Answers, </w:t>
      </w:r>
      <w:r w:rsidRPr="00280290">
        <w:rPr>
          <w:i/>
        </w:rPr>
        <w:t>Department of Justice and Equality Services for People with Disabilities</w:t>
      </w:r>
      <w:r w:rsidRPr="00280290">
        <w:t>, (11 June 2013)&lt;http://www.kildarestreet.com/wrans/</w:t>
      </w:r>
      <w:proofErr w:type="gramStart"/>
      <w:r w:rsidRPr="00280290">
        <w:t>?id</w:t>
      </w:r>
      <w:proofErr w:type="gramEnd"/>
      <w:r w:rsidRPr="00280290">
        <w:t>=2013-06-11a.1789&gt; accessed last 24 October 2013.</w:t>
      </w:r>
    </w:p>
  </w:footnote>
  <w:footnote w:id="226">
    <w:p w14:paraId="185C66A1" w14:textId="77777777" w:rsidR="006C1607" w:rsidRPr="00280290" w:rsidRDefault="006C1607" w:rsidP="00780B84">
      <w:pPr>
        <w:pStyle w:val="FootnoteText"/>
      </w:pPr>
      <w:r w:rsidRPr="00280290">
        <w:rPr>
          <w:rStyle w:val="FootnoteReference"/>
        </w:rPr>
        <w:footnoteRef/>
      </w:r>
      <w:r>
        <w:t xml:space="preserve"> The c</w:t>
      </w:r>
      <w:r w:rsidRPr="00280290">
        <w:t>a</w:t>
      </w:r>
      <w:r>
        <w:t xml:space="preserve">se involved </w:t>
      </w:r>
      <w:proofErr w:type="gramStart"/>
      <w:r>
        <w:t>a young women</w:t>
      </w:r>
      <w:proofErr w:type="gramEnd"/>
      <w:r>
        <w:t xml:space="preserve"> with </w:t>
      </w:r>
      <w:r w:rsidRPr="00280290">
        <w:t>Down Syndrome who was prevented from testifying in court about her sexual assault. Juno McEnroe, ‘Family want ‘archaic’ law overhauled’</w:t>
      </w:r>
      <w:r>
        <w:t xml:space="preserve"> </w:t>
      </w:r>
      <w:r>
        <w:rPr>
          <w:i/>
        </w:rPr>
        <w:t xml:space="preserve">Irish </w:t>
      </w:r>
      <w:proofErr w:type="gramStart"/>
      <w:r>
        <w:rPr>
          <w:i/>
        </w:rPr>
        <w:t>Examiner</w:t>
      </w:r>
      <w:r w:rsidRPr="002807D9">
        <w:t>(</w:t>
      </w:r>
      <w:proofErr w:type="gramEnd"/>
      <w:r>
        <w:t xml:space="preserve">30 March 2010). </w:t>
      </w:r>
      <w:proofErr w:type="gramStart"/>
      <w:r>
        <w:t>Available at &lt;</w:t>
      </w:r>
      <w:r w:rsidRPr="002807D9">
        <w:t>http://www.irishexaminer.com/ireland/icrime/family-want-archaic-law-overhauled-115886.html</w:t>
      </w:r>
      <w:r w:rsidRPr="00280290">
        <w:t>&gt;</w:t>
      </w:r>
      <w:r>
        <w:rPr>
          <w:lang w:val="en-US"/>
        </w:rPr>
        <w:t xml:space="preserve"> (last </w:t>
      </w:r>
      <w:r w:rsidRPr="00280290">
        <w:t>accessed 13 November 2013</w:t>
      </w:r>
      <w:r>
        <w:rPr>
          <w:lang w:val="en-US"/>
        </w:rPr>
        <w:t>)</w:t>
      </w:r>
      <w:r w:rsidRPr="00280290">
        <w:t>.</w:t>
      </w:r>
      <w:proofErr w:type="gramEnd"/>
    </w:p>
  </w:footnote>
  <w:footnote w:id="227">
    <w:p w14:paraId="2BD9F838" w14:textId="77777777" w:rsidR="006C1607" w:rsidRPr="00280290" w:rsidRDefault="006C1607" w:rsidP="00780B84">
      <w:pPr>
        <w:pStyle w:val="FootnoteText"/>
      </w:pPr>
      <w:r w:rsidRPr="00280290">
        <w:rPr>
          <w:rStyle w:val="FootnoteReference"/>
        </w:rPr>
        <w:footnoteRef/>
      </w:r>
      <w:r w:rsidRPr="00280290">
        <w:t xml:space="preserve"> Interview with Parent 3 on 28 February 2014.</w:t>
      </w:r>
    </w:p>
  </w:footnote>
  <w:footnote w:id="228">
    <w:p w14:paraId="64144BFE" w14:textId="77777777" w:rsidR="006C1607" w:rsidRPr="00280290" w:rsidRDefault="006C1607" w:rsidP="00780B84">
      <w:pPr>
        <w:pStyle w:val="FootnoteText"/>
      </w:pPr>
      <w:r w:rsidRPr="00280290">
        <w:rPr>
          <w:rStyle w:val="FootnoteReference"/>
        </w:rPr>
        <w:footnoteRef/>
      </w:r>
      <w:r w:rsidRPr="00280290">
        <w:t xml:space="preserve"> Interview with Parent 3 on 28 February 2014.</w:t>
      </w:r>
    </w:p>
  </w:footnote>
  <w:footnote w:id="229">
    <w:p w14:paraId="79B42C55" w14:textId="77777777" w:rsidR="006C1607" w:rsidRPr="00280290" w:rsidRDefault="006C1607" w:rsidP="00780B84">
      <w:pPr>
        <w:pStyle w:val="FootnoteText"/>
      </w:pPr>
      <w:r w:rsidRPr="00280290">
        <w:rPr>
          <w:rStyle w:val="FootnoteReference"/>
        </w:rPr>
        <w:footnoteRef/>
      </w:r>
      <w:r w:rsidRPr="00280290">
        <w:t xml:space="preserve"> Interview with Parent 3 on 28 February 2014.</w:t>
      </w:r>
    </w:p>
  </w:footnote>
  <w:footnote w:id="230">
    <w:p w14:paraId="1015A9A6" w14:textId="77777777" w:rsidR="006C1607" w:rsidRPr="00280290" w:rsidRDefault="006C1607" w:rsidP="00780B84">
      <w:pPr>
        <w:pStyle w:val="FootnoteText"/>
      </w:pPr>
      <w:r w:rsidRPr="00280290">
        <w:rPr>
          <w:rStyle w:val="FootnoteReference"/>
        </w:rPr>
        <w:footnoteRef/>
      </w:r>
      <w:r w:rsidRPr="00280290">
        <w:t xml:space="preserve"> Interview with Parent 3 on 28 February 2014.</w:t>
      </w:r>
    </w:p>
  </w:footnote>
  <w:footnote w:id="231">
    <w:p w14:paraId="2A1A0705" w14:textId="77777777" w:rsidR="006C1607" w:rsidRPr="00280290" w:rsidRDefault="006C1607" w:rsidP="00780B84">
      <w:pPr>
        <w:pStyle w:val="FootnoteText"/>
      </w:pPr>
      <w:r w:rsidRPr="00280290">
        <w:rPr>
          <w:rStyle w:val="FootnoteReference"/>
        </w:rPr>
        <w:footnoteRef/>
      </w:r>
      <w:r w:rsidRPr="00280290">
        <w:t xml:space="preserve"> Shane </w:t>
      </w:r>
      <w:r w:rsidRPr="002807D9">
        <w:t>Kilcommins</w:t>
      </w:r>
      <w:r>
        <w:t xml:space="preserve"> et</w:t>
      </w:r>
      <w:r w:rsidRPr="002807D9">
        <w:t xml:space="preserve"> al</w:t>
      </w:r>
      <w:r>
        <w:t xml:space="preserve"> </w:t>
      </w:r>
      <w:r w:rsidRPr="00280290">
        <w:rPr>
          <w:i/>
        </w:rPr>
        <w:t>An International Review of Legal Provisions and Supports for People with Disabilities as Victims of Crime</w:t>
      </w:r>
      <w:r w:rsidRPr="00280290">
        <w:t>, Irish Council for Civil Liberties (December 2013)</w:t>
      </w:r>
    </w:p>
  </w:footnote>
  <w:footnote w:id="232">
    <w:p w14:paraId="438C09C2" w14:textId="77777777" w:rsidR="006C1607" w:rsidRPr="00280290" w:rsidRDefault="006C1607" w:rsidP="00780B84">
      <w:pPr>
        <w:pStyle w:val="FootnoteText"/>
      </w:pPr>
      <w:r w:rsidRPr="00280290">
        <w:rPr>
          <w:rStyle w:val="FootnoteReference"/>
        </w:rPr>
        <w:footnoteRef/>
      </w:r>
      <w:r>
        <w:t xml:space="preserve"> </w:t>
      </w:r>
      <w:r w:rsidRPr="00280290">
        <w:t>Una Ni Raifeartaigh</w:t>
      </w:r>
      <w:r>
        <w:t xml:space="preserve"> </w:t>
      </w:r>
      <w:r w:rsidRPr="00280290">
        <w:rPr>
          <w:i/>
        </w:rPr>
        <w:t>Child Sexual Abuse Cases: The Need for Cultural Change within the Criminal Justice System</w:t>
      </w:r>
      <w:r w:rsidRPr="00280290">
        <w:t>, unpublished article based on papers</w:t>
      </w:r>
      <w:r>
        <w:t xml:space="preserve"> </w:t>
      </w:r>
      <w:r w:rsidRPr="00280290">
        <w:t>based on papers given by the author at a joint DPP-St. Louise’s Unit, Crumlin Hospital conference on Child Witness in November 2008, and an Irish Criminal Bar Association seminar in July 2008, respectively (2008).</w:t>
      </w:r>
    </w:p>
  </w:footnote>
  <w:footnote w:id="233">
    <w:p w14:paraId="6E5F2121" w14:textId="77777777" w:rsidR="006C1607" w:rsidRPr="00280290" w:rsidRDefault="006C1607" w:rsidP="00780B84">
      <w:pPr>
        <w:pStyle w:val="FootnoteText"/>
      </w:pPr>
      <w:r w:rsidRPr="00280290">
        <w:rPr>
          <w:rStyle w:val="FootnoteReference"/>
        </w:rPr>
        <w:footnoteRef/>
      </w:r>
      <w:r>
        <w:t xml:space="preserve"> </w:t>
      </w:r>
      <w:r w:rsidRPr="00280290">
        <w:t>Una Ni Raifeartaigh</w:t>
      </w:r>
      <w:r>
        <w:t xml:space="preserve"> </w:t>
      </w:r>
      <w:r w:rsidRPr="00280290">
        <w:rPr>
          <w:i/>
        </w:rPr>
        <w:t>Child Sexual Abuse Cases: The Need for Cultural Change within the Criminal Justice System</w:t>
      </w:r>
      <w:r w:rsidRPr="00280290">
        <w:t>, unpublished article based on papers</w:t>
      </w:r>
      <w:r>
        <w:t xml:space="preserve"> </w:t>
      </w:r>
      <w:r w:rsidRPr="00280290">
        <w:t>based on papers given by the author at a joint DPP-St. Louise’s Unit, Crumlin Hospital conference on Child Witness in November 2008, and an Irish Criminal Bar Association seminar in July 2008, respectively (2008).</w:t>
      </w:r>
    </w:p>
  </w:footnote>
  <w:footnote w:id="234">
    <w:p w14:paraId="5286DE08" w14:textId="77777777" w:rsidR="006C1607" w:rsidRPr="00280290" w:rsidRDefault="006C1607">
      <w:pPr>
        <w:pStyle w:val="FootnoteText"/>
      </w:pPr>
      <w:r w:rsidRPr="00280290">
        <w:rPr>
          <w:rStyle w:val="FootnoteReference"/>
        </w:rPr>
        <w:footnoteRef/>
      </w:r>
      <w:r w:rsidRPr="00280290">
        <w:t xml:space="preserve"> D.O’D v. DPP &amp;</w:t>
      </w:r>
      <w:r>
        <w:t xml:space="preserve"> </w:t>
      </w:r>
      <w:r w:rsidRPr="00280290">
        <w:t xml:space="preserve">Anor [2010] 2 IR 605, [2009] IEHC 559. </w:t>
      </w:r>
      <w:proofErr w:type="gramStart"/>
      <w:r w:rsidRPr="00913516">
        <w:t>Available at</w:t>
      </w:r>
      <w:r>
        <w:t xml:space="preserve"> &lt;</w:t>
      </w:r>
      <w:r w:rsidRPr="00913516">
        <w:t>http://www.bailii.org/ie/cases/IEHC/2009/H559.html</w:t>
      </w:r>
      <w:r w:rsidRPr="00280290">
        <w:t>&gt; (last accessed 10 April 2015).</w:t>
      </w:r>
      <w:proofErr w:type="gramEnd"/>
    </w:p>
  </w:footnote>
  <w:footnote w:id="235">
    <w:p w14:paraId="1B00BA3E" w14:textId="77777777" w:rsidR="006C1607" w:rsidRPr="00280290" w:rsidRDefault="006C1607">
      <w:pPr>
        <w:pStyle w:val="FootnoteText"/>
      </w:pPr>
      <w:r w:rsidRPr="00280290">
        <w:rPr>
          <w:rStyle w:val="FootnoteReference"/>
        </w:rPr>
        <w:footnoteRef/>
      </w:r>
      <w:r w:rsidRPr="00913516">
        <w:t>Ibid.</w:t>
      </w:r>
      <w:r>
        <w:t xml:space="preserve"> </w:t>
      </w:r>
      <w:r w:rsidRPr="00913516">
        <w:t>For further discussion of this case see</w:t>
      </w:r>
      <w:r>
        <w:t xml:space="preserve"> </w:t>
      </w:r>
      <w:r w:rsidRPr="00280290">
        <w:t xml:space="preserve">Shane Kilcommins, Susan Leahy, and Eimear Spain, </w:t>
      </w:r>
      <w:r w:rsidRPr="00280290">
        <w:rPr>
          <w:i/>
        </w:rPr>
        <w:t>Invited Submission to the Minister for Justice on the Discussion Paper on Sexual Offences Against Vulnerable Persons, particularly in respect of the proposal to replace section 5 of th</w:t>
      </w:r>
      <w:r>
        <w:rPr>
          <w:i/>
        </w:rPr>
        <w:t>e</w:t>
      </w:r>
      <w:r w:rsidRPr="00280290">
        <w:rPr>
          <w:i/>
        </w:rPr>
        <w:t xml:space="preserve"> Crim</w:t>
      </w:r>
      <w:r>
        <w:rPr>
          <w:i/>
        </w:rPr>
        <w:t>in</w:t>
      </w:r>
      <w:r w:rsidRPr="00280290">
        <w:rPr>
          <w:i/>
        </w:rPr>
        <w:t>al Law (Sexual Offences) Act 1993</w:t>
      </w:r>
      <w:r w:rsidRPr="00280290">
        <w:t>, School of Law</w:t>
      </w:r>
      <w:r>
        <w:t>,</w:t>
      </w:r>
      <w:r w:rsidRPr="00280290">
        <w:t xml:space="preserve"> University of Limerick (2 September 2014).</w:t>
      </w:r>
      <w:r>
        <w:t xml:space="preserve"> </w:t>
      </w:r>
      <w:proofErr w:type="gramStart"/>
      <w:r w:rsidRPr="00913516">
        <w:t>Available at</w:t>
      </w:r>
      <w:r>
        <w:t xml:space="preserve"> &lt;</w:t>
      </w:r>
      <w:r w:rsidRPr="00913516">
        <w:t>http://www.ul.ie/law/sites/default/files/docs/Invited%20Submission%20to%20the%20Minister%20for%20Justice%20Final.pdf</w:t>
      </w:r>
      <w:r w:rsidRPr="00280290">
        <w:t>&gt; (last accessed 10 April 2015).</w:t>
      </w:r>
      <w:proofErr w:type="gramEnd"/>
    </w:p>
  </w:footnote>
  <w:footnote w:id="236">
    <w:p w14:paraId="05F58E21" w14:textId="77777777" w:rsidR="006C1607" w:rsidRPr="00280290" w:rsidRDefault="006C1607">
      <w:pPr>
        <w:pStyle w:val="FootnoteText"/>
        <w:rPr>
          <w:lang w:val="en-US"/>
        </w:rPr>
      </w:pPr>
      <w:r w:rsidRPr="00280290">
        <w:rPr>
          <w:rStyle w:val="FootnoteReference"/>
        </w:rPr>
        <w:footnoteRef/>
      </w:r>
      <w:r>
        <w:rPr>
          <w:lang w:val="en-US"/>
        </w:rPr>
        <w:t xml:space="preserve"> </w:t>
      </w:r>
      <w:proofErr w:type="gramStart"/>
      <w:r>
        <w:rPr>
          <w:lang w:val="en-US"/>
        </w:rPr>
        <w:t>S</w:t>
      </w:r>
      <w:r w:rsidRPr="00280290">
        <w:t>14 Criminal Evidence Act 1992.</w:t>
      </w:r>
      <w:proofErr w:type="gramEnd"/>
    </w:p>
  </w:footnote>
  <w:footnote w:id="237">
    <w:p w14:paraId="385A44E8" w14:textId="77777777" w:rsidR="006C1607" w:rsidRPr="00280290" w:rsidRDefault="006C1607" w:rsidP="00D9048D">
      <w:pPr>
        <w:pStyle w:val="FootnoteText"/>
      </w:pPr>
      <w:r w:rsidRPr="00280290">
        <w:rPr>
          <w:rStyle w:val="FootnoteReference"/>
        </w:rPr>
        <w:footnoteRef/>
      </w:r>
      <w:r w:rsidRPr="00280290">
        <w:t xml:space="preserve"> Irish Penal Reform Trust, </w:t>
      </w:r>
      <w:r w:rsidRPr="00280290">
        <w:rPr>
          <w:i/>
        </w:rPr>
        <w:t>Detention of Children in Ireland: International Standards and Best Practice</w:t>
      </w:r>
      <w:r w:rsidRPr="00280290">
        <w:t>, IPRT, Dublin (2009).</w:t>
      </w:r>
    </w:p>
  </w:footnote>
  <w:footnote w:id="238">
    <w:p w14:paraId="7A12459B" w14:textId="77777777" w:rsidR="006C1607" w:rsidRPr="00280290" w:rsidRDefault="006C1607" w:rsidP="00D9048D">
      <w:pPr>
        <w:pStyle w:val="FootnoteText"/>
      </w:pPr>
      <w:r w:rsidRPr="00280290">
        <w:rPr>
          <w:rStyle w:val="FootnoteReference"/>
        </w:rPr>
        <w:footnoteRef/>
      </w:r>
      <w:r w:rsidRPr="00280290">
        <w:t xml:space="preserve"> Irish Penal Reform Trust, </w:t>
      </w:r>
      <w:r w:rsidRPr="00280290">
        <w:rPr>
          <w:i/>
        </w:rPr>
        <w:t>Detention of Children in Ireland: International Standards and Best Practice</w:t>
      </w:r>
      <w:r w:rsidRPr="00280290">
        <w:t>, IPRT, Dublin (2009) 87-91.</w:t>
      </w:r>
    </w:p>
  </w:footnote>
  <w:footnote w:id="239">
    <w:p w14:paraId="2A053688" w14:textId="77777777" w:rsidR="006C1607" w:rsidRPr="00280290" w:rsidRDefault="006C1607" w:rsidP="00D9048D">
      <w:pPr>
        <w:pStyle w:val="FootnoteText"/>
      </w:pPr>
      <w:r w:rsidRPr="00280290">
        <w:rPr>
          <w:rStyle w:val="FootnoteReference"/>
        </w:rPr>
        <w:footnoteRef/>
      </w:r>
      <w:r w:rsidRPr="00280290">
        <w:t xml:space="preserve"> Irish Penal Reform Trust, </w:t>
      </w:r>
      <w:r w:rsidRPr="00280290">
        <w:rPr>
          <w:i/>
        </w:rPr>
        <w:t>Detention of Children in Ireland: International Standards and Best Practice</w:t>
      </w:r>
      <w:r w:rsidRPr="00280290">
        <w:t>, IPRT, Dublin (2009) 87-91.</w:t>
      </w:r>
    </w:p>
  </w:footnote>
  <w:footnote w:id="240">
    <w:p w14:paraId="2509D68D" w14:textId="77777777" w:rsidR="006C1607" w:rsidRPr="00280290" w:rsidRDefault="006C1607" w:rsidP="00D9048D">
      <w:pPr>
        <w:pStyle w:val="FootnoteText"/>
      </w:pPr>
      <w:r w:rsidRPr="00280290">
        <w:rPr>
          <w:rStyle w:val="FootnoteReference"/>
        </w:rPr>
        <w:footnoteRef/>
      </w:r>
      <w:r w:rsidRPr="00280290">
        <w:t xml:space="preserve"> Shane Kilcommins </w:t>
      </w:r>
      <w:r>
        <w:t>et</w:t>
      </w:r>
      <w:r w:rsidRPr="00913516">
        <w:t xml:space="preserve"> al</w:t>
      </w:r>
      <w:r>
        <w:t xml:space="preserve"> </w:t>
      </w:r>
      <w:r w:rsidRPr="00280290">
        <w:rPr>
          <w:i/>
        </w:rPr>
        <w:t>An International Review of Legal Provisions and Supports for People with Disabilities as Victims of Crime</w:t>
      </w:r>
      <w:r w:rsidRPr="00280290">
        <w:t>, Irish Council for C</w:t>
      </w:r>
      <w:r>
        <w:t>ivil Liberties (December 2013).</w:t>
      </w:r>
    </w:p>
  </w:footnote>
  <w:footnote w:id="241">
    <w:p w14:paraId="05789C38" w14:textId="77777777" w:rsidR="006C1607" w:rsidRPr="00280290" w:rsidRDefault="006C1607" w:rsidP="00D9048D">
      <w:pPr>
        <w:pStyle w:val="FootnoteText"/>
      </w:pPr>
      <w:r w:rsidRPr="00280290">
        <w:rPr>
          <w:rStyle w:val="FootnoteReference"/>
        </w:rPr>
        <w:footnoteRef/>
      </w:r>
      <w:r w:rsidRPr="00280290">
        <w:t xml:space="preserve"> Interview with District Court Judge conducted by Jenni Kline on 10 March 2014.</w:t>
      </w:r>
    </w:p>
  </w:footnote>
  <w:footnote w:id="242">
    <w:p w14:paraId="7F0DBE45" w14:textId="77777777" w:rsidR="006C1607" w:rsidRPr="00280290" w:rsidRDefault="006C1607" w:rsidP="005404AB">
      <w:pPr>
        <w:pStyle w:val="FootnoteText"/>
      </w:pPr>
      <w:r w:rsidRPr="00280290">
        <w:rPr>
          <w:rStyle w:val="FootnoteReference"/>
        </w:rPr>
        <w:footnoteRef/>
      </w:r>
      <w:r>
        <w:rPr>
          <w:lang w:val="en-US"/>
        </w:rPr>
        <w:t xml:space="preserve"> S</w:t>
      </w:r>
      <w:r>
        <w:t>19 Criminal Evidence Act 1992: S</w:t>
      </w:r>
      <w:r w:rsidRPr="00280290">
        <w:t>16 Criminal Evidence Act 1992.</w:t>
      </w:r>
    </w:p>
  </w:footnote>
  <w:footnote w:id="243">
    <w:p w14:paraId="4D496A88" w14:textId="77777777" w:rsidR="006C1607" w:rsidRPr="00280290" w:rsidRDefault="006C1607" w:rsidP="005404AB">
      <w:pPr>
        <w:pStyle w:val="FootnoteText"/>
      </w:pPr>
      <w:r w:rsidRPr="00280290">
        <w:rPr>
          <w:rStyle w:val="FootnoteReference"/>
        </w:rPr>
        <w:footnoteRef/>
      </w:r>
      <w:r>
        <w:rPr>
          <w:lang w:val="en-US"/>
        </w:rPr>
        <w:t xml:space="preserve"> </w:t>
      </w:r>
      <w:proofErr w:type="gramStart"/>
      <w:r>
        <w:rPr>
          <w:lang w:val="en-US"/>
        </w:rPr>
        <w:t>S</w:t>
      </w:r>
      <w:r>
        <w:t>27(</w:t>
      </w:r>
      <w:proofErr w:type="gramEnd"/>
      <w:r>
        <w:t>3)</w:t>
      </w:r>
      <w:r w:rsidRPr="00280290">
        <w:t>(1) Criminal Evidence Act 1992.</w:t>
      </w:r>
    </w:p>
  </w:footnote>
  <w:footnote w:id="244">
    <w:p w14:paraId="1488BADA" w14:textId="77777777" w:rsidR="006C1607" w:rsidRPr="00280290" w:rsidRDefault="006C1607" w:rsidP="005404AB">
      <w:pPr>
        <w:pStyle w:val="FootnoteText"/>
      </w:pPr>
      <w:r w:rsidRPr="00280290">
        <w:rPr>
          <w:rStyle w:val="FootnoteReference"/>
        </w:rPr>
        <w:footnoteRef/>
      </w:r>
      <w:r>
        <w:t xml:space="preserve"> </w:t>
      </w:r>
      <w:proofErr w:type="gramStart"/>
      <w:r>
        <w:t>S</w:t>
      </w:r>
      <w:r w:rsidRPr="00280290">
        <w:t>28 Children Act 1997.</w:t>
      </w:r>
      <w:proofErr w:type="gramEnd"/>
    </w:p>
  </w:footnote>
  <w:footnote w:id="245">
    <w:p w14:paraId="5C74EFB2" w14:textId="77777777" w:rsidR="006C1607" w:rsidRPr="00280290" w:rsidRDefault="006C1607" w:rsidP="005404AB">
      <w:pPr>
        <w:pStyle w:val="FootnoteText"/>
      </w:pPr>
      <w:r w:rsidRPr="00280290">
        <w:rPr>
          <w:rStyle w:val="FootnoteReference"/>
        </w:rPr>
        <w:footnoteRef/>
      </w:r>
      <w:r>
        <w:t xml:space="preserve"> </w:t>
      </w:r>
      <w:r w:rsidRPr="00913516">
        <w:t>O’Sullivan v. Hamil</w:t>
      </w:r>
      <w:r>
        <w:t xml:space="preserve">l </w:t>
      </w:r>
      <w:r w:rsidRPr="00280290">
        <w:t>[1999] 3 IR 9.</w:t>
      </w:r>
    </w:p>
  </w:footnote>
  <w:footnote w:id="246">
    <w:p w14:paraId="0D1C69D7" w14:textId="77777777" w:rsidR="006C1607" w:rsidRPr="00280290" w:rsidRDefault="006C1607" w:rsidP="005404AB">
      <w:pPr>
        <w:pStyle w:val="FootnoteText"/>
      </w:pPr>
      <w:r w:rsidRPr="00280290">
        <w:rPr>
          <w:rStyle w:val="FootnoteReference"/>
        </w:rPr>
        <w:footnoteRef/>
      </w:r>
      <w:r>
        <w:rPr>
          <w:lang w:val="en-US"/>
        </w:rPr>
        <w:t xml:space="preserve"> </w:t>
      </w:r>
      <w:proofErr w:type="gramStart"/>
      <w:r>
        <w:rPr>
          <w:lang w:val="en-US"/>
        </w:rPr>
        <w:t>S</w:t>
      </w:r>
      <w:r>
        <w:t>28</w:t>
      </w:r>
      <w:r w:rsidRPr="00280290">
        <w:t>(</w:t>
      </w:r>
      <w:proofErr w:type="gramEnd"/>
      <w:r w:rsidRPr="00280290">
        <w:t xml:space="preserve">2)(a) Criminal Evidence Act 1992. </w:t>
      </w:r>
    </w:p>
  </w:footnote>
  <w:footnote w:id="247">
    <w:p w14:paraId="16151F58" w14:textId="77777777" w:rsidR="006C1607" w:rsidRPr="00280290" w:rsidRDefault="006C1607" w:rsidP="003C6C9A">
      <w:pPr>
        <w:rPr>
          <w:rFonts w:asciiTheme="minorHAnsi" w:hAnsiTheme="minorHAnsi"/>
          <w:sz w:val="20"/>
          <w:szCs w:val="20"/>
        </w:rPr>
      </w:pPr>
      <w:r w:rsidRPr="00280290">
        <w:rPr>
          <w:rStyle w:val="FootnoteReference"/>
          <w:rFonts w:asciiTheme="minorHAnsi" w:hAnsiTheme="minorHAnsi"/>
          <w:sz w:val="20"/>
          <w:szCs w:val="20"/>
        </w:rPr>
        <w:footnoteRef/>
      </w:r>
      <w:r>
        <w:rPr>
          <w:rFonts w:asciiTheme="minorHAnsi" w:hAnsiTheme="minorHAnsi"/>
          <w:sz w:val="20"/>
          <w:szCs w:val="20"/>
          <w:lang w:val="en-US"/>
        </w:rPr>
        <w:t xml:space="preserve"> </w:t>
      </w:r>
      <w:proofErr w:type="gramStart"/>
      <w:r>
        <w:rPr>
          <w:rFonts w:asciiTheme="minorHAnsi" w:hAnsiTheme="minorHAnsi"/>
          <w:sz w:val="20"/>
          <w:szCs w:val="20"/>
          <w:lang w:val="en-US"/>
        </w:rPr>
        <w:t>S</w:t>
      </w:r>
      <w:r w:rsidRPr="00280290">
        <w:rPr>
          <w:rFonts w:asciiTheme="minorHAnsi" w:hAnsiTheme="minorHAnsi"/>
          <w:sz w:val="20"/>
          <w:szCs w:val="20"/>
        </w:rPr>
        <w:t>129 Criminal Justice Act 2006.</w:t>
      </w:r>
      <w:proofErr w:type="gramEnd"/>
    </w:p>
  </w:footnote>
  <w:footnote w:id="248">
    <w:p w14:paraId="43603C53" w14:textId="77777777" w:rsidR="006C1607" w:rsidRPr="00280290" w:rsidRDefault="006C1607" w:rsidP="006B7F10">
      <w:pPr>
        <w:pStyle w:val="FootnoteText"/>
      </w:pPr>
      <w:r w:rsidRPr="00280290">
        <w:rPr>
          <w:rStyle w:val="FootnoteReference"/>
        </w:rPr>
        <w:footnoteRef/>
      </w:r>
      <w:r>
        <w:t xml:space="preserve"> </w:t>
      </w:r>
      <w:proofErr w:type="gramStart"/>
      <w:r>
        <w:t>S</w:t>
      </w:r>
      <w:r w:rsidRPr="00280290">
        <w:t>129 Criminal Justice Act 2006.</w:t>
      </w:r>
      <w:proofErr w:type="gramEnd"/>
    </w:p>
  </w:footnote>
  <w:footnote w:id="249">
    <w:p w14:paraId="5DF70F52" w14:textId="77777777" w:rsidR="006C1607" w:rsidRPr="00280290" w:rsidRDefault="006C1607" w:rsidP="006B7F10">
      <w:pPr>
        <w:pStyle w:val="FootnoteText"/>
      </w:pPr>
      <w:r w:rsidRPr="00280290">
        <w:rPr>
          <w:rStyle w:val="FootnoteReference"/>
        </w:rPr>
        <w:footnoteRef/>
      </w:r>
      <w:r>
        <w:t xml:space="preserve"> </w:t>
      </w:r>
      <w:proofErr w:type="gramStart"/>
      <w:r>
        <w:t>S</w:t>
      </w:r>
      <w:r w:rsidRPr="00280290">
        <w:t>130 Criminal Justice Act 2006.</w:t>
      </w:r>
      <w:proofErr w:type="gramEnd"/>
    </w:p>
  </w:footnote>
  <w:footnote w:id="250">
    <w:p w14:paraId="6A13AE74" w14:textId="77777777" w:rsidR="006C1607" w:rsidRPr="00280290" w:rsidRDefault="006C1607" w:rsidP="006B7F10">
      <w:pPr>
        <w:pStyle w:val="FootnoteText"/>
      </w:pPr>
      <w:r w:rsidRPr="00280290">
        <w:rPr>
          <w:rStyle w:val="FootnoteReference"/>
        </w:rPr>
        <w:footnoteRef/>
      </w:r>
      <w:r>
        <w:t xml:space="preserve"> </w:t>
      </w:r>
      <w:proofErr w:type="gramStart"/>
      <w:r>
        <w:t>S</w:t>
      </w:r>
      <w:r w:rsidRPr="00280290">
        <w:t>60 Children Act 2001.</w:t>
      </w:r>
      <w:proofErr w:type="gramEnd"/>
    </w:p>
  </w:footnote>
  <w:footnote w:id="251">
    <w:p w14:paraId="1018870A" w14:textId="77777777" w:rsidR="006C1607" w:rsidRPr="00280290" w:rsidRDefault="006C1607" w:rsidP="006B7F10">
      <w:pPr>
        <w:pStyle w:val="FootnoteText"/>
      </w:pPr>
      <w:r w:rsidRPr="00280290">
        <w:rPr>
          <w:rStyle w:val="FootnoteReference"/>
        </w:rPr>
        <w:footnoteRef/>
      </w:r>
      <w:r>
        <w:t xml:space="preserve"> </w:t>
      </w:r>
      <w:proofErr w:type="gramStart"/>
      <w:r>
        <w:t>S</w:t>
      </w:r>
      <w:r w:rsidRPr="00280290">
        <w:t>57 Children Act 2001.</w:t>
      </w:r>
      <w:proofErr w:type="gramEnd"/>
    </w:p>
  </w:footnote>
  <w:footnote w:id="252">
    <w:p w14:paraId="18013785" w14:textId="77777777" w:rsidR="006C1607" w:rsidRPr="00280290" w:rsidRDefault="006C1607" w:rsidP="001149FA">
      <w:pPr>
        <w:pStyle w:val="FootnoteText"/>
      </w:pPr>
      <w:r w:rsidRPr="00280290">
        <w:rPr>
          <w:rStyle w:val="FootnoteReference"/>
        </w:rPr>
        <w:footnoteRef/>
      </w:r>
      <w:r>
        <w:t xml:space="preserve"> </w:t>
      </w:r>
      <w:r w:rsidRPr="00280290">
        <w:t xml:space="preserve">Lavery v. </w:t>
      </w:r>
      <w:proofErr w:type="gramStart"/>
      <w:r w:rsidRPr="00280290">
        <w:t>The Member in Charg</w:t>
      </w:r>
      <w:r>
        <w:t>e of Carrickmacross Garda Station</w:t>
      </w:r>
      <w:r w:rsidRPr="00280290">
        <w:t xml:space="preserve"> [1999] IESC 29.</w:t>
      </w:r>
      <w:proofErr w:type="gramEnd"/>
    </w:p>
  </w:footnote>
  <w:footnote w:id="253">
    <w:p w14:paraId="01BB953B" w14:textId="77777777" w:rsidR="006C1607" w:rsidRPr="00280290" w:rsidRDefault="006C1607" w:rsidP="001149FA">
      <w:pPr>
        <w:pStyle w:val="FootnoteText"/>
      </w:pPr>
      <w:r w:rsidRPr="00280290">
        <w:rPr>
          <w:rStyle w:val="FootnoteReference"/>
        </w:rPr>
        <w:footnoteRef/>
      </w:r>
      <w:r>
        <w:t xml:space="preserve"> </w:t>
      </w:r>
      <w:proofErr w:type="gramStart"/>
      <w:r>
        <w:t>JM (A minor) v.</w:t>
      </w:r>
      <w:proofErr w:type="gramEnd"/>
      <w:r>
        <w:t xml:space="preserve"> </w:t>
      </w:r>
      <w:proofErr w:type="gramStart"/>
      <w:r>
        <w:t>The</w:t>
      </w:r>
      <w:r w:rsidRPr="00280290">
        <w:t xml:space="preserve"> Member in Charge of Coolock Garda Station [2013] IEHC 251.</w:t>
      </w:r>
      <w:proofErr w:type="gramEnd"/>
    </w:p>
  </w:footnote>
  <w:footnote w:id="254">
    <w:p w14:paraId="1458967C" w14:textId="77777777" w:rsidR="006C1607" w:rsidRPr="00280290" w:rsidRDefault="006C1607" w:rsidP="001149FA">
      <w:pPr>
        <w:pStyle w:val="FootnoteText"/>
      </w:pPr>
      <w:r w:rsidRPr="00280290">
        <w:rPr>
          <w:rStyle w:val="FootnoteReference"/>
        </w:rPr>
        <w:footnoteRef/>
      </w:r>
      <w:r>
        <w:t xml:space="preserve"> </w:t>
      </w:r>
      <w:proofErr w:type="gramStart"/>
      <w:r>
        <w:t>JM (A minor) v.</w:t>
      </w:r>
      <w:r w:rsidRPr="00280290">
        <w:t xml:space="preserve"> Member in Charge of Coolock Garda Station [2013] IEHC 251.</w:t>
      </w:r>
      <w:proofErr w:type="gramEnd"/>
    </w:p>
  </w:footnote>
  <w:footnote w:id="255">
    <w:p w14:paraId="2591C04F" w14:textId="77777777" w:rsidR="006C1607" w:rsidRPr="00280290" w:rsidRDefault="006C1607" w:rsidP="00F204A7">
      <w:pPr>
        <w:pStyle w:val="FootnoteText"/>
      </w:pPr>
      <w:r w:rsidRPr="00280290">
        <w:rPr>
          <w:rStyle w:val="FootnoteReference"/>
        </w:rPr>
        <w:footnoteRef/>
      </w:r>
      <w:r>
        <w:rPr>
          <w:lang w:val="en-US"/>
        </w:rPr>
        <w:t xml:space="preserve"> </w:t>
      </w:r>
      <w:proofErr w:type="gramStart"/>
      <w:r>
        <w:rPr>
          <w:lang w:val="en-US"/>
        </w:rPr>
        <w:t>S</w:t>
      </w:r>
      <w:r w:rsidRPr="00280290">
        <w:t>57 Children Act 2001.</w:t>
      </w:r>
      <w:proofErr w:type="gramEnd"/>
    </w:p>
  </w:footnote>
  <w:footnote w:id="256">
    <w:p w14:paraId="638B5616" w14:textId="77777777" w:rsidR="006C1607" w:rsidRPr="00280290" w:rsidRDefault="006C1607" w:rsidP="00F204A7">
      <w:pPr>
        <w:pStyle w:val="FootnoteText"/>
      </w:pPr>
      <w:r w:rsidRPr="00280290">
        <w:rPr>
          <w:rStyle w:val="FootnoteReference"/>
        </w:rPr>
        <w:footnoteRef/>
      </w:r>
      <w:r>
        <w:t xml:space="preserve"> </w:t>
      </w:r>
      <w:proofErr w:type="gramStart"/>
      <w:r>
        <w:t>S</w:t>
      </w:r>
      <w:r w:rsidRPr="00280290">
        <w:t>57 Children Act 2001.</w:t>
      </w:r>
      <w:proofErr w:type="gramEnd"/>
    </w:p>
  </w:footnote>
  <w:footnote w:id="257">
    <w:p w14:paraId="73727D74" w14:textId="77777777" w:rsidR="006C1607" w:rsidRPr="00280290" w:rsidRDefault="006C1607" w:rsidP="00F204A7">
      <w:pPr>
        <w:pStyle w:val="FootnoteText"/>
      </w:pPr>
      <w:r w:rsidRPr="00280290">
        <w:rPr>
          <w:rStyle w:val="FootnoteReference"/>
        </w:rPr>
        <w:footnoteRef/>
      </w:r>
      <w:r>
        <w:rPr>
          <w:lang w:val="en-US"/>
        </w:rPr>
        <w:t xml:space="preserve"> </w:t>
      </w:r>
      <w:proofErr w:type="gramStart"/>
      <w:r>
        <w:rPr>
          <w:lang w:val="en-US"/>
        </w:rPr>
        <w:t>S</w:t>
      </w:r>
      <w:r w:rsidRPr="00280290">
        <w:t>58 Children Act 2001.</w:t>
      </w:r>
      <w:proofErr w:type="gramEnd"/>
    </w:p>
  </w:footnote>
  <w:footnote w:id="258">
    <w:p w14:paraId="0A43C7D3" w14:textId="77777777" w:rsidR="006C1607" w:rsidRPr="00280290" w:rsidRDefault="006C1607" w:rsidP="00F204A7">
      <w:pPr>
        <w:pStyle w:val="FootnoteText"/>
      </w:pPr>
      <w:r w:rsidRPr="00280290">
        <w:rPr>
          <w:rStyle w:val="FootnoteReference"/>
        </w:rPr>
        <w:footnoteRef/>
      </w:r>
      <w:r>
        <w:t xml:space="preserve"> </w:t>
      </w:r>
      <w:proofErr w:type="gramStart"/>
      <w:r>
        <w:t>S</w:t>
      </w:r>
      <w:r w:rsidRPr="00280290">
        <w:t>61 Children Act 2001.</w:t>
      </w:r>
      <w:proofErr w:type="gramEnd"/>
    </w:p>
  </w:footnote>
  <w:footnote w:id="259">
    <w:p w14:paraId="6555A6B8" w14:textId="77777777" w:rsidR="006C1607" w:rsidRPr="00280290" w:rsidRDefault="006C1607" w:rsidP="00F204A7">
      <w:pPr>
        <w:pStyle w:val="FootnoteText"/>
      </w:pPr>
      <w:r w:rsidRPr="00280290">
        <w:rPr>
          <w:rStyle w:val="FootnoteReference"/>
        </w:rPr>
        <w:footnoteRef/>
      </w:r>
      <w:r>
        <w:t xml:space="preserve"> </w:t>
      </w:r>
      <w:proofErr w:type="gramStart"/>
      <w:r>
        <w:t>S</w:t>
      </w:r>
      <w:r w:rsidRPr="00280290">
        <w:t>61 Children Act 2001.</w:t>
      </w:r>
      <w:proofErr w:type="gramEnd"/>
    </w:p>
  </w:footnote>
  <w:footnote w:id="260">
    <w:p w14:paraId="21E9BC1C" w14:textId="77777777" w:rsidR="006C1607" w:rsidRPr="00280290" w:rsidRDefault="006C1607" w:rsidP="00D42CD8">
      <w:pPr>
        <w:pStyle w:val="FootnoteText"/>
      </w:pPr>
      <w:r w:rsidRPr="00280290">
        <w:rPr>
          <w:rStyle w:val="FootnoteReference"/>
        </w:rPr>
        <w:footnoteRef/>
      </w:r>
      <w:r>
        <w:t xml:space="preserve"> </w:t>
      </w:r>
      <w:proofErr w:type="gramStart"/>
      <w:r w:rsidRPr="00280290">
        <w:t>Office of the Director of Public Prosecutions, ‘Guidelines for Prosecutors’ (October 2007) 20.</w:t>
      </w:r>
      <w:proofErr w:type="gramEnd"/>
    </w:p>
  </w:footnote>
  <w:footnote w:id="261">
    <w:p w14:paraId="1EE23ACB" w14:textId="77777777" w:rsidR="006C1607" w:rsidRPr="00CB79D7" w:rsidRDefault="006C1607" w:rsidP="0043430B">
      <w:pPr>
        <w:pStyle w:val="FootnoteText"/>
      </w:pPr>
      <w:r w:rsidRPr="00280290">
        <w:rPr>
          <w:rStyle w:val="FootnoteReference"/>
        </w:rPr>
        <w:footnoteRef/>
      </w:r>
      <w:r w:rsidRPr="00280290">
        <w:t xml:space="preserve"> Jim Nestor, </w:t>
      </w:r>
      <w:r w:rsidRPr="00280290">
        <w:rPr>
          <w:i/>
        </w:rPr>
        <w:t>Law of Child Care 2</w:t>
      </w:r>
      <w:r w:rsidRPr="00280290">
        <w:rPr>
          <w:i/>
          <w:vertAlign w:val="superscript"/>
        </w:rPr>
        <w:t>nd</w:t>
      </w:r>
      <w:r w:rsidRPr="00280290">
        <w:rPr>
          <w:i/>
        </w:rPr>
        <w:t xml:space="preserve"> ed. </w:t>
      </w:r>
      <w:r w:rsidRPr="00280290">
        <w:t xml:space="preserve">(Blackhall Publishing </w:t>
      </w:r>
      <w:proofErr w:type="gramStart"/>
      <w:r w:rsidRPr="00280290">
        <w:t>2009)</w:t>
      </w:r>
      <w:r>
        <w:t>14</w:t>
      </w:r>
      <w:proofErr w:type="gramEnd"/>
      <w:r w:rsidRPr="00280290">
        <w:t xml:space="preserve"> (citing to unreported </w:t>
      </w:r>
      <w:r w:rsidRPr="00913516">
        <w:t>case J. (A Minor) v</w:t>
      </w:r>
      <w:r>
        <w:t>.</w:t>
      </w:r>
      <w:r w:rsidRPr="00913516">
        <w:t xml:space="preserve"> Judge Miriam Malone</w:t>
      </w:r>
      <w:r w:rsidRPr="00280290">
        <w:t>(2003) High Court.</w:t>
      </w:r>
      <w:r>
        <w:t xml:space="preserve"> </w:t>
      </w:r>
      <w:r w:rsidRPr="00CB79D7">
        <w:rPr>
          <w:rFonts w:eastAsia="Calibri"/>
        </w:rPr>
        <w:t>See section 2 above for further information on family welfare hearings.</w:t>
      </w:r>
    </w:p>
  </w:footnote>
  <w:footnote w:id="262">
    <w:p w14:paraId="67F62F32" w14:textId="77777777" w:rsidR="006C1607" w:rsidRPr="00280290" w:rsidRDefault="006C1607" w:rsidP="0043430B">
      <w:pPr>
        <w:pStyle w:val="FootnoteText"/>
      </w:pPr>
      <w:r w:rsidRPr="00280290">
        <w:rPr>
          <w:rStyle w:val="FootnoteReference"/>
        </w:rPr>
        <w:footnoteRef/>
      </w:r>
      <w:r>
        <w:t xml:space="preserve"> </w:t>
      </w:r>
      <w:proofErr w:type="gramStart"/>
      <w:r>
        <w:t>S</w:t>
      </w:r>
      <w:r w:rsidRPr="00280290">
        <w:t>75 Children Court Act 2001.</w:t>
      </w:r>
      <w:proofErr w:type="gramEnd"/>
    </w:p>
  </w:footnote>
  <w:footnote w:id="263">
    <w:p w14:paraId="6A7D8CDE" w14:textId="77777777" w:rsidR="006C1607" w:rsidRPr="00280290" w:rsidRDefault="006C1607" w:rsidP="0043430B">
      <w:pPr>
        <w:pStyle w:val="FootnoteText"/>
      </w:pPr>
      <w:r w:rsidRPr="00280290">
        <w:rPr>
          <w:rStyle w:val="FootnoteReference"/>
        </w:rPr>
        <w:footnoteRef/>
      </w:r>
      <w:r>
        <w:t xml:space="preserve"> </w:t>
      </w:r>
      <w:proofErr w:type="gramStart"/>
      <w:r>
        <w:t>S</w:t>
      </w:r>
      <w:r w:rsidRPr="00280290">
        <w:t>75 Children Court Act 2001.</w:t>
      </w:r>
      <w:proofErr w:type="gramEnd"/>
    </w:p>
  </w:footnote>
  <w:footnote w:id="264">
    <w:p w14:paraId="6D921C94" w14:textId="77777777" w:rsidR="006C1607" w:rsidRPr="00280290" w:rsidRDefault="006C1607" w:rsidP="0043430B">
      <w:pPr>
        <w:pStyle w:val="FootnoteText"/>
      </w:pPr>
      <w:r w:rsidRPr="00280290">
        <w:rPr>
          <w:rStyle w:val="FootnoteReference"/>
        </w:rPr>
        <w:footnoteRef/>
      </w:r>
      <w:r>
        <w:t xml:space="preserve"> </w:t>
      </w:r>
      <w:proofErr w:type="gramStart"/>
      <w:r>
        <w:t>S</w:t>
      </w:r>
      <w:r w:rsidRPr="00280290">
        <w:t>75 Children Court Act 2001.</w:t>
      </w:r>
      <w:proofErr w:type="gramEnd"/>
    </w:p>
  </w:footnote>
  <w:footnote w:id="265">
    <w:p w14:paraId="195F443E" w14:textId="77777777" w:rsidR="006C1607" w:rsidRPr="00280290" w:rsidRDefault="006C1607" w:rsidP="0043430B">
      <w:pPr>
        <w:pStyle w:val="FootnoteText"/>
      </w:pPr>
      <w:r w:rsidRPr="00280290">
        <w:rPr>
          <w:rStyle w:val="FootnoteReference"/>
        </w:rPr>
        <w:footnoteRef/>
      </w:r>
      <w:r>
        <w:rPr>
          <w:lang w:val="en-US"/>
        </w:rPr>
        <w:t xml:space="preserve"> </w:t>
      </w:r>
      <w:proofErr w:type="gramStart"/>
      <w:r>
        <w:rPr>
          <w:lang w:val="en-US"/>
        </w:rPr>
        <w:t>S</w:t>
      </w:r>
      <w:r w:rsidRPr="00280290">
        <w:t>4(</w:t>
      </w:r>
      <w:proofErr w:type="gramEnd"/>
      <w:r w:rsidRPr="00280290">
        <w:t>2) Criminal Law (Insanity) Act 2006.</w:t>
      </w:r>
    </w:p>
  </w:footnote>
  <w:footnote w:id="266">
    <w:p w14:paraId="76C9B658" w14:textId="77777777" w:rsidR="006C1607" w:rsidRPr="00280290" w:rsidRDefault="006C1607" w:rsidP="0043430B">
      <w:pPr>
        <w:pStyle w:val="FootnoteText"/>
      </w:pPr>
      <w:r w:rsidRPr="00280290">
        <w:rPr>
          <w:rStyle w:val="FootnoteReference"/>
        </w:rPr>
        <w:footnoteRef/>
      </w:r>
      <w:r>
        <w:t xml:space="preserve"> </w:t>
      </w:r>
      <w:proofErr w:type="gramStart"/>
      <w:r>
        <w:t>S</w:t>
      </w:r>
      <w:r w:rsidRPr="00280290">
        <w:t>5 Criminal Law (Insanity) Act 2006.</w:t>
      </w:r>
      <w:proofErr w:type="gramEnd"/>
    </w:p>
  </w:footnote>
  <w:footnote w:id="267">
    <w:p w14:paraId="3365342C" w14:textId="77777777" w:rsidR="006C1607" w:rsidRPr="00280290" w:rsidRDefault="006C1607" w:rsidP="0043430B">
      <w:pPr>
        <w:pStyle w:val="FootnoteText"/>
      </w:pPr>
      <w:r w:rsidRPr="00280290">
        <w:rPr>
          <w:rStyle w:val="FootnoteReference"/>
        </w:rPr>
        <w:footnoteRef/>
      </w:r>
      <w:r>
        <w:t xml:space="preserve"> </w:t>
      </w:r>
      <w:proofErr w:type="gramStart"/>
      <w:r>
        <w:t>S</w:t>
      </w:r>
      <w:r w:rsidRPr="00280290">
        <w:t>1 Criminal Law (Insanity) Act 2006.</w:t>
      </w:r>
      <w:proofErr w:type="gramEnd"/>
    </w:p>
  </w:footnote>
  <w:footnote w:id="268">
    <w:p w14:paraId="4C8F4C88" w14:textId="77777777" w:rsidR="006C1607" w:rsidRPr="00280290" w:rsidRDefault="006C1607" w:rsidP="0043430B">
      <w:pPr>
        <w:pStyle w:val="FootnoteText"/>
      </w:pPr>
      <w:r w:rsidRPr="00280290">
        <w:rPr>
          <w:rStyle w:val="FootnoteReference"/>
        </w:rPr>
        <w:footnoteRef/>
      </w:r>
      <w:r w:rsidRPr="00280290">
        <w:t xml:space="preserve"> UN Office on Drugs and Crime, Statistics on Criminal Justice, Persons brought into formal contact with the police (2011)</w:t>
      </w:r>
      <w:r>
        <w:t xml:space="preserve">. </w:t>
      </w:r>
      <w:proofErr w:type="gramStart"/>
      <w:r>
        <w:t xml:space="preserve">Available at </w:t>
      </w:r>
      <w:r w:rsidRPr="00280290">
        <w:t>&lt;</w:t>
      </w:r>
      <w:hyperlink r:id="rId1" w:history="1">
        <w:r w:rsidRPr="00280290">
          <w:t>http://www.unodc.org/unodc/en/data-and-analysis/statistics/crime.html</w:t>
        </w:r>
      </w:hyperlink>
      <w:r>
        <w:rPr>
          <w:lang w:val="en-US"/>
        </w:rPr>
        <w:t xml:space="preserve">&gt; (last </w:t>
      </w:r>
      <w:r w:rsidRPr="00280290">
        <w:t>accessed20 August 2013</w:t>
      </w:r>
      <w:r>
        <w:rPr>
          <w:lang w:val="en-US"/>
        </w:rPr>
        <w:t>)</w:t>
      </w:r>
      <w:r w:rsidRPr="00280290">
        <w:t>.</w:t>
      </w:r>
      <w:proofErr w:type="gramEnd"/>
    </w:p>
  </w:footnote>
  <w:footnote w:id="269">
    <w:p w14:paraId="3077E15D" w14:textId="77777777" w:rsidR="006C1607" w:rsidRPr="00280290" w:rsidRDefault="006C1607" w:rsidP="0043430B">
      <w:pPr>
        <w:pStyle w:val="FootnoteText"/>
      </w:pPr>
      <w:r w:rsidRPr="00280290">
        <w:rPr>
          <w:rStyle w:val="FootnoteReference"/>
        </w:rPr>
        <w:footnoteRef/>
      </w:r>
      <w:r>
        <w:rPr>
          <w:lang w:val="en-US"/>
        </w:rPr>
        <w:t xml:space="preserve"> </w:t>
      </w:r>
      <w:proofErr w:type="gramStart"/>
      <w:r>
        <w:rPr>
          <w:lang w:val="en-US"/>
        </w:rPr>
        <w:t>S</w:t>
      </w:r>
      <w:r>
        <w:t>56</w:t>
      </w:r>
      <w:r w:rsidRPr="00280290">
        <w:t xml:space="preserve"> Children Act 2001.</w:t>
      </w:r>
      <w:proofErr w:type="gramEnd"/>
    </w:p>
  </w:footnote>
  <w:footnote w:id="270">
    <w:p w14:paraId="020D6C1B" w14:textId="77777777" w:rsidR="006C1607" w:rsidRPr="00280290" w:rsidRDefault="006C1607" w:rsidP="0043430B">
      <w:pPr>
        <w:pStyle w:val="FootnoteText"/>
      </w:pPr>
      <w:r w:rsidRPr="00280290">
        <w:rPr>
          <w:rStyle w:val="FootnoteReference"/>
        </w:rPr>
        <w:footnoteRef/>
      </w:r>
      <w:r>
        <w:t xml:space="preserve"> </w:t>
      </w:r>
      <w:proofErr w:type="gramStart"/>
      <w:r>
        <w:t>S</w:t>
      </w:r>
      <w:r w:rsidRPr="00280290">
        <w:t>147 Children Act 2001.</w:t>
      </w:r>
      <w:proofErr w:type="gramEnd"/>
    </w:p>
  </w:footnote>
  <w:footnote w:id="271">
    <w:p w14:paraId="57F8E794" w14:textId="77777777" w:rsidR="006C1607" w:rsidRPr="00280290" w:rsidRDefault="006C1607" w:rsidP="0043430B">
      <w:pPr>
        <w:pStyle w:val="FootnoteText"/>
      </w:pPr>
      <w:r w:rsidRPr="00280290">
        <w:rPr>
          <w:rStyle w:val="FootnoteReference"/>
        </w:rPr>
        <w:footnoteRef/>
      </w:r>
      <w:r>
        <w:t xml:space="preserve"> </w:t>
      </w:r>
      <w:proofErr w:type="gramStart"/>
      <w:r>
        <w:t>S</w:t>
      </w:r>
      <w:r w:rsidRPr="00280290">
        <w:t>141 Criminal Justice Act 2006.</w:t>
      </w:r>
      <w:proofErr w:type="gramEnd"/>
    </w:p>
  </w:footnote>
  <w:footnote w:id="272">
    <w:p w14:paraId="02D8F336" w14:textId="77777777" w:rsidR="006C1607" w:rsidRPr="00280290" w:rsidRDefault="006C1607" w:rsidP="0043430B">
      <w:pPr>
        <w:pStyle w:val="FootnoteText"/>
      </w:pPr>
      <w:r w:rsidRPr="00280290">
        <w:rPr>
          <w:rStyle w:val="FootnoteReference"/>
        </w:rPr>
        <w:footnoteRef/>
      </w:r>
      <w:r w:rsidRPr="00280290">
        <w:t xml:space="preserve"> </w:t>
      </w:r>
      <w:proofErr w:type="gramStart"/>
      <w:r w:rsidRPr="00280290">
        <w:t>National Crime Council, C</w:t>
      </w:r>
      <w:r>
        <w:t>ourt Statistics-Children’s Court.</w:t>
      </w:r>
      <w:proofErr w:type="gramEnd"/>
      <w:r>
        <w:t xml:space="preserve"> Available at </w:t>
      </w:r>
      <w:r w:rsidRPr="00280290">
        <w:t>&lt;http://www.crimecouncil.gov.ie/statistics_cri_court_children.html#jsenabled=no&gt;</w:t>
      </w:r>
      <w:r>
        <w:t xml:space="preserve">(last </w:t>
      </w:r>
      <w:r w:rsidRPr="00280290">
        <w:t>accessed 20 August 2013</w:t>
      </w:r>
      <w:r>
        <w:t>)</w:t>
      </w:r>
      <w:r w:rsidRPr="00280290">
        <w:t>.</w:t>
      </w:r>
    </w:p>
  </w:footnote>
  <w:footnote w:id="273">
    <w:p w14:paraId="57F70BF3" w14:textId="77777777" w:rsidR="006C1607" w:rsidRPr="00280290" w:rsidRDefault="006C1607" w:rsidP="0043430B">
      <w:pPr>
        <w:pStyle w:val="FootnoteText"/>
      </w:pPr>
      <w:r w:rsidRPr="00280290">
        <w:rPr>
          <w:rStyle w:val="FootnoteReference"/>
        </w:rPr>
        <w:footnoteRef/>
      </w:r>
      <w:r w:rsidRPr="00280290">
        <w:t xml:space="preserve"> National Crime Council, Prison Statistics- Age of persons committed to </w:t>
      </w:r>
      <w:r>
        <w:t xml:space="preserve">prisons and places of detention. </w:t>
      </w:r>
      <w:proofErr w:type="gramStart"/>
      <w:r>
        <w:t>Available at</w:t>
      </w:r>
      <w:r w:rsidRPr="00280290">
        <w:t>&lt;http://www.crimecouncil.gov.ie/statistics_cri_prison_table6.html&gt;</w:t>
      </w:r>
      <w:r>
        <w:t xml:space="preserve">(last </w:t>
      </w:r>
      <w:r w:rsidRPr="00280290">
        <w:t>accessed 20 August 2013</w:t>
      </w:r>
      <w:r>
        <w:t>)</w:t>
      </w:r>
      <w:r w:rsidRPr="00280290">
        <w:t>.</w:t>
      </w:r>
      <w:proofErr w:type="gramEnd"/>
    </w:p>
  </w:footnote>
  <w:footnote w:id="274">
    <w:p w14:paraId="3B923F00" w14:textId="77777777" w:rsidR="006C1607" w:rsidRPr="00280290" w:rsidRDefault="006C1607" w:rsidP="00F36A0B">
      <w:pPr>
        <w:pStyle w:val="ColorfulList-Accent11"/>
        <w:ind w:left="0"/>
        <w:rPr>
          <w:rFonts w:asciiTheme="minorHAnsi" w:hAnsiTheme="minorHAnsi"/>
        </w:rPr>
      </w:pPr>
      <w:r w:rsidRPr="00F36A0B">
        <w:rPr>
          <w:rStyle w:val="FootnoteReference"/>
          <w:sz w:val="20"/>
        </w:rPr>
        <w:footnoteRef/>
      </w:r>
      <w:r>
        <w:rPr>
          <w:rStyle w:val="FootnoteTextChar"/>
        </w:rPr>
        <w:t xml:space="preserve"> </w:t>
      </w:r>
      <w:proofErr w:type="gramStart"/>
      <w:r w:rsidRPr="00F36A0B">
        <w:rPr>
          <w:rStyle w:val="FootnoteTextChar"/>
        </w:rPr>
        <w:t>Irish Youth Justice Service, ‘Safeguarding Policy for</w:t>
      </w:r>
      <w:r>
        <w:rPr>
          <w:rStyle w:val="FootnoteTextChar"/>
        </w:rPr>
        <w:t xml:space="preserve"> the Children Detention Schools’ </w:t>
      </w:r>
      <w:r w:rsidRPr="00F36A0B">
        <w:rPr>
          <w:rStyle w:val="FootnoteTextChar"/>
        </w:rPr>
        <w:t>(December 2010)</w:t>
      </w:r>
      <w:r>
        <w:rPr>
          <w:rStyle w:val="FootnoteTextChar"/>
        </w:rPr>
        <w:t xml:space="preserve"> 10 Available at </w:t>
      </w:r>
      <w:r w:rsidRPr="00F36A0B">
        <w:rPr>
          <w:rStyle w:val="FootnoteTextChar"/>
        </w:rPr>
        <w:t>&lt;http://www.iyjs.ie/en/IYJS/Safeguarding%20Policy%20Document.pdf/Files/Safeguarding%20Policy%20Document.pdf&gt;</w:t>
      </w:r>
      <w:r>
        <w:rPr>
          <w:rStyle w:val="FootnoteTextChar"/>
        </w:rPr>
        <w:t xml:space="preserve">(last </w:t>
      </w:r>
      <w:r w:rsidRPr="00F36A0B">
        <w:rPr>
          <w:rStyle w:val="FootnoteTextChar"/>
        </w:rPr>
        <w:t>accessed 21 August 2013</w:t>
      </w:r>
      <w:r>
        <w:rPr>
          <w:rStyle w:val="FootnoteTextChar"/>
        </w:rPr>
        <w:t>)</w:t>
      </w:r>
      <w:r w:rsidRPr="00F36A0B">
        <w:rPr>
          <w:rStyle w:val="FootnoteTextChar"/>
        </w:rPr>
        <w:t>.</w:t>
      </w:r>
      <w:proofErr w:type="gramEnd"/>
    </w:p>
  </w:footnote>
  <w:footnote w:id="275">
    <w:p w14:paraId="7487A5AF" w14:textId="77777777" w:rsidR="006C1607" w:rsidRPr="00533B96" w:rsidRDefault="006C1607">
      <w:pPr>
        <w:pStyle w:val="FootnoteText"/>
        <w:rPr>
          <w:lang w:val="en-US"/>
        </w:rPr>
      </w:pPr>
      <w:r>
        <w:rPr>
          <w:rStyle w:val="FootnoteReference"/>
        </w:rPr>
        <w:footnoteRef/>
      </w:r>
      <w:r>
        <w:t xml:space="preserve"> </w:t>
      </w:r>
      <w:proofErr w:type="gramStart"/>
      <w:r>
        <w:rPr>
          <w:lang w:val="en-US"/>
        </w:rPr>
        <w:t xml:space="preserve">Children's Rights Alliance, </w:t>
      </w:r>
      <w:r>
        <w:rPr>
          <w:i/>
          <w:lang w:val="en-US"/>
        </w:rPr>
        <w:t>Report Card 2015</w:t>
      </w:r>
      <w:r>
        <w:rPr>
          <w:lang w:val="en-US"/>
        </w:rPr>
        <w:t>, (2015).</w:t>
      </w:r>
      <w:proofErr w:type="gramEnd"/>
      <w:r>
        <w:rPr>
          <w:lang w:val="en-US"/>
        </w:rPr>
        <w:t xml:space="preserve"> </w:t>
      </w:r>
      <w:r>
        <w:rPr>
          <w:i/>
          <w:lang w:val="en-US"/>
        </w:rPr>
        <w:t>Available at &lt;</w:t>
      </w:r>
      <w:r w:rsidRPr="00533B96">
        <w:rPr>
          <w:i/>
          <w:lang w:val="en-US"/>
        </w:rPr>
        <w:t>http://childrensrights.ie/sites/default/files/submissions_reports/files/ReportCard2015.pdf</w:t>
      </w:r>
      <w:r>
        <w:rPr>
          <w:i/>
          <w:lang w:val="en-US"/>
        </w:rPr>
        <w:t xml:space="preserve">&gt; (last accessed </w:t>
      </w:r>
      <w:r>
        <w:rPr>
          <w:lang w:val="en-US"/>
        </w:rPr>
        <w:t>(17 April 2015).</w:t>
      </w:r>
    </w:p>
  </w:footnote>
  <w:footnote w:id="276">
    <w:p w14:paraId="12EC1DBE" w14:textId="77777777" w:rsidR="006C1607" w:rsidRPr="005F0294" w:rsidRDefault="006C1607" w:rsidP="0043430B">
      <w:pPr>
        <w:contextualSpacing/>
        <w:rPr>
          <w:rFonts w:asciiTheme="minorHAnsi" w:hAnsiTheme="minorHAnsi"/>
          <w:sz w:val="20"/>
          <w:szCs w:val="20"/>
          <w:lang w:val="en-US"/>
        </w:rPr>
      </w:pPr>
      <w:r w:rsidRPr="00280290">
        <w:rPr>
          <w:rStyle w:val="FootnoteReference"/>
          <w:rFonts w:asciiTheme="minorHAnsi" w:hAnsiTheme="minorHAnsi"/>
          <w:sz w:val="20"/>
          <w:szCs w:val="20"/>
        </w:rPr>
        <w:footnoteRef/>
      </w:r>
      <w:r>
        <w:rPr>
          <w:rFonts w:asciiTheme="minorHAnsi" w:hAnsiTheme="minorHAnsi"/>
          <w:sz w:val="20"/>
          <w:szCs w:val="20"/>
          <w:lang w:val="en-US"/>
        </w:rPr>
        <w:t xml:space="preserve"> Michael </w:t>
      </w:r>
      <w:r>
        <w:rPr>
          <w:rFonts w:asciiTheme="minorHAnsi" w:hAnsiTheme="minorHAnsi"/>
          <w:sz w:val="20"/>
          <w:szCs w:val="20"/>
        </w:rPr>
        <w:t xml:space="preserve">Reilly, </w:t>
      </w:r>
      <w:r w:rsidRPr="0070197B">
        <w:rPr>
          <w:rFonts w:asciiTheme="minorHAnsi" w:hAnsiTheme="minorHAnsi"/>
          <w:i/>
          <w:sz w:val="20"/>
          <w:szCs w:val="20"/>
        </w:rPr>
        <w:t xml:space="preserve">Report on an Inspection of St. Patrick’s Institution by the Inspector of </w:t>
      </w:r>
      <w:r w:rsidRPr="005F0294">
        <w:rPr>
          <w:rFonts w:asciiTheme="minorHAnsi" w:hAnsiTheme="minorHAnsi"/>
          <w:i/>
          <w:sz w:val="20"/>
          <w:szCs w:val="20"/>
        </w:rPr>
        <w:t>Prisons</w:t>
      </w:r>
      <w:r>
        <w:rPr>
          <w:rFonts w:asciiTheme="minorHAnsi" w:hAnsiTheme="minorHAnsi"/>
          <w:sz w:val="20"/>
          <w:szCs w:val="20"/>
        </w:rPr>
        <w:t>,</w:t>
      </w:r>
      <w:r w:rsidRPr="00280290">
        <w:rPr>
          <w:rFonts w:asciiTheme="minorHAnsi" w:hAnsiTheme="minorHAnsi"/>
          <w:sz w:val="20"/>
          <w:szCs w:val="20"/>
        </w:rPr>
        <w:t xml:space="preserve"> Offi</w:t>
      </w:r>
      <w:r>
        <w:rPr>
          <w:rFonts w:asciiTheme="minorHAnsi" w:hAnsiTheme="minorHAnsi"/>
          <w:sz w:val="20"/>
          <w:szCs w:val="20"/>
        </w:rPr>
        <w:t>ce for the Inspector of Prisons, (2012) Dublin.</w:t>
      </w:r>
    </w:p>
  </w:footnote>
  <w:footnote w:id="277">
    <w:p w14:paraId="073DBC8C" w14:textId="77777777" w:rsidR="006C1607" w:rsidRPr="00280290" w:rsidRDefault="006C1607" w:rsidP="0043430B">
      <w:pPr>
        <w:pStyle w:val="FootnoteText"/>
      </w:pPr>
      <w:r w:rsidRPr="00280290">
        <w:rPr>
          <w:rStyle w:val="FootnoteReference"/>
        </w:rPr>
        <w:footnoteRef/>
      </w:r>
      <w:r w:rsidRPr="00280290">
        <w:t xml:space="preserve"> </w:t>
      </w:r>
      <w:proofErr w:type="gramStart"/>
      <w:r w:rsidRPr="00280290">
        <w:t xml:space="preserve">Jennifer Margaret Hayes and Gary O’Reilly, ‘Emotional Intelligence Mental Health and Juvenile Delinquency’ [May 2007] </w:t>
      </w:r>
      <w:r w:rsidRPr="00F36A0B">
        <w:rPr>
          <w:i/>
        </w:rPr>
        <w:t>Juvenile Health Matters</w:t>
      </w:r>
      <w:r w:rsidRPr="00280290">
        <w:t xml:space="preserve"> 39.</w:t>
      </w:r>
      <w:proofErr w:type="gramEnd"/>
    </w:p>
  </w:footnote>
  <w:footnote w:id="278">
    <w:p w14:paraId="6676F503" w14:textId="77777777" w:rsidR="006C1607" w:rsidRPr="00280290" w:rsidRDefault="006C1607" w:rsidP="0043430B">
      <w:pPr>
        <w:pStyle w:val="FootnoteText"/>
      </w:pPr>
      <w:r w:rsidRPr="007B396E">
        <w:rPr>
          <w:rStyle w:val="FootnoteReference"/>
        </w:rPr>
        <w:footnoteRef/>
      </w:r>
      <w:r>
        <w:t xml:space="preserve"> </w:t>
      </w:r>
      <w:proofErr w:type="gramStart"/>
      <w:r w:rsidRPr="00280290">
        <w:t xml:space="preserve">Jennifer Margaret Hayes and Gary O’Reilly, ‘Emotional Intelligence Mental Health and Juvenile Delinquency’ [May 2007] </w:t>
      </w:r>
      <w:r w:rsidRPr="00F36A0B">
        <w:rPr>
          <w:i/>
        </w:rPr>
        <w:t>Juvenile Health Matters</w:t>
      </w:r>
      <w:r w:rsidRPr="00280290">
        <w:t xml:space="preserve"> 49.</w:t>
      </w:r>
      <w:proofErr w:type="gramEnd"/>
    </w:p>
  </w:footnote>
  <w:footnote w:id="279">
    <w:p w14:paraId="7CA27018" w14:textId="77777777" w:rsidR="006C1607" w:rsidRPr="00280290" w:rsidRDefault="006C1607" w:rsidP="0043430B">
      <w:pPr>
        <w:pStyle w:val="FootnoteText"/>
      </w:pPr>
      <w:r w:rsidRPr="00280290">
        <w:rPr>
          <w:rStyle w:val="FootnoteReference"/>
        </w:rPr>
        <w:footnoteRef/>
      </w:r>
      <w:r w:rsidRPr="00280290">
        <w:t xml:space="preserve"> Irish Youth Justice Service, </w:t>
      </w:r>
      <w:r w:rsidRPr="00280290">
        <w:rPr>
          <w:i/>
        </w:rPr>
        <w:t>Annual Report 2010</w:t>
      </w:r>
      <w:r w:rsidRPr="00280290">
        <w:t>, (2010) 21.</w:t>
      </w:r>
    </w:p>
  </w:footnote>
  <w:footnote w:id="280">
    <w:p w14:paraId="7EB33A28" w14:textId="77777777" w:rsidR="006C1607" w:rsidRPr="00533B96" w:rsidRDefault="006C1607">
      <w:pPr>
        <w:pStyle w:val="FootnoteText"/>
        <w:rPr>
          <w:lang w:val="en-US"/>
        </w:rPr>
      </w:pPr>
      <w:r>
        <w:rPr>
          <w:rStyle w:val="FootnoteReference"/>
        </w:rPr>
        <w:footnoteRef/>
      </w:r>
      <w:r>
        <w:t xml:space="preserve"> </w:t>
      </w:r>
      <w:proofErr w:type="gramStart"/>
      <w:r>
        <w:rPr>
          <w:lang w:val="en-US"/>
        </w:rPr>
        <w:t xml:space="preserve">Children's Rights Alliance, </w:t>
      </w:r>
      <w:r>
        <w:rPr>
          <w:i/>
          <w:lang w:val="en-US"/>
        </w:rPr>
        <w:t>Report Card 2015</w:t>
      </w:r>
      <w:r>
        <w:rPr>
          <w:lang w:val="en-US"/>
        </w:rPr>
        <w:t>, (2015).</w:t>
      </w:r>
      <w:proofErr w:type="gramEnd"/>
      <w:r>
        <w:rPr>
          <w:lang w:val="en-US"/>
        </w:rPr>
        <w:t xml:space="preserve"> </w:t>
      </w:r>
      <w:r w:rsidRPr="00411BBF">
        <w:rPr>
          <w:lang w:val="en-US"/>
        </w:rPr>
        <w:t>Available at</w:t>
      </w:r>
      <w:r>
        <w:rPr>
          <w:i/>
          <w:lang w:val="en-US"/>
        </w:rPr>
        <w:t xml:space="preserve"> </w:t>
      </w:r>
      <w:r w:rsidRPr="007B396E">
        <w:rPr>
          <w:lang w:val="en-US"/>
        </w:rPr>
        <w:t>&lt;http://childrensrights.ie/sites/default/files/submissions_reports/files/ReportCard2015.pdf&gt;</w:t>
      </w:r>
      <w:r>
        <w:rPr>
          <w:i/>
          <w:lang w:val="en-US"/>
        </w:rPr>
        <w:t xml:space="preserve"> </w:t>
      </w:r>
      <w:r w:rsidRPr="00411BBF">
        <w:rPr>
          <w:lang w:val="en-US"/>
        </w:rPr>
        <w:t>(last accessed (17 April 2015).</w:t>
      </w:r>
    </w:p>
  </w:footnote>
  <w:footnote w:id="281">
    <w:p w14:paraId="3CCB1109" w14:textId="77777777" w:rsidR="006C1607" w:rsidRPr="00280290" w:rsidRDefault="006C1607" w:rsidP="0043430B">
      <w:pPr>
        <w:pStyle w:val="FootnoteText"/>
      </w:pPr>
      <w:r w:rsidRPr="00280290">
        <w:rPr>
          <w:rStyle w:val="FootnoteReference"/>
        </w:rPr>
        <w:footnoteRef/>
      </w:r>
      <w:r w:rsidRPr="00280290">
        <w:t xml:space="preserve"> Interview with Child Rights Expert conducted by Eilionoir Flynn and Jenni Kline on 24 January 2014.</w:t>
      </w:r>
    </w:p>
  </w:footnote>
  <w:footnote w:id="282">
    <w:p w14:paraId="55594D86" w14:textId="77777777" w:rsidR="006C1607" w:rsidRPr="00280290" w:rsidRDefault="006C1607" w:rsidP="0043430B">
      <w:pPr>
        <w:pStyle w:val="FootnoteText"/>
      </w:pPr>
      <w:r w:rsidRPr="00F36A0B">
        <w:rPr>
          <w:rStyle w:val="FootnoteReference"/>
        </w:rPr>
        <w:footnoteRef/>
      </w:r>
      <w:r>
        <w:t xml:space="preserve"> Christine Bohan, ‘After five-year delay, work finally begins on new youth detention centre in Dublin’ </w:t>
      </w:r>
      <w:r w:rsidRPr="00943DB4">
        <w:rPr>
          <w:i/>
        </w:rPr>
        <w:t>thejournal.ie</w:t>
      </w:r>
      <w:r>
        <w:t xml:space="preserve"> (14 October 2013). </w:t>
      </w:r>
      <w:proofErr w:type="gramStart"/>
      <w:r>
        <w:t>Available at &lt;</w:t>
      </w:r>
      <w:r w:rsidRPr="00943DB4">
        <w:t>http://www.thejournal.ie/oberstown-centre-young-offenders-1128243-Oct2013/</w:t>
      </w:r>
      <w:r>
        <w:t>&gt; (last accessed 14 April 2015).</w:t>
      </w:r>
      <w:proofErr w:type="gramEnd"/>
    </w:p>
  </w:footnote>
  <w:footnote w:id="283">
    <w:p w14:paraId="5E0003EA" w14:textId="77777777" w:rsidR="006C1607" w:rsidRPr="00280290" w:rsidRDefault="006C1607" w:rsidP="0043430B">
      <w:pPr>
        <w:pStyle w:val="FootnoteText"/>
      </w:pPr>
      <w:r w:rsidRPr="00280290">
        <w:rPr>
          <w:rStyle w:val="FootnoteReference"/>
        </w:rPr>
        <w:footnoteRef/>
      </w:r>
      <w:r w:rsidRPr="00280290">
        <w:t xml:space="preserve"> Irish Penal Reform Trust, </w:t>
      </w:r>
      <w:r w:rsidRPr="00280290">
        <w:rPr>
          <w:i/>
        </w:rPr>
        <w:t>Detention of Children in Ireland: International Standards and Best Practice</w:t>
      </w:r>
      <w:r w:rsidRPr="00280290">
        <w:t>, IPRT, Dublin (2009) 80.</w:t>
      </w:r>
    </w:p>
  </w:footnote>
  <w:footnote w:id="284">
    <w:p w14:paraId="41A319F9" w14:textId="77777777" w:rsidR="006C1607" w:rsidRPr="00280290" w:rsidRDefault="006C1607" w:rsidP="0043430B">
      <w:pPr>
        <w:pStyle w:val="FootnoteText"/>
      </w:pPr>
      <w:r w:rsidRPr="00280290">
        <w:rPr>
          <w:rStyle w:val="FootnoteReference"/>
        </w:rPr>
        <w:footnoteRef/>
      </w:r>
      <w:r w:rsidRPr="00280290">
        <w:t xml:space="preserve"> Irish Penal Reform Trust, </w:t>
      </w:r>
      <w:r w:rsidRPr="00280290">
        <w:rPr>
          <w:i/>
        </w:rPr>
        <w:t>Detention of Children in Ireland: International Standards and Best Practice</w:t>
      </w:r>
      <w:r w:rsidRPr="00280290">
        <w:t>, IPRT, Dublin (2009) 72.</w:t>
      </w:r>
    </w:p>
  </w:footnote>
  <w:footnote w:id="285">
    <w:p w14:paraId="292849DD" w14:textId="77777777" w:rsidR="006C1607" w:rsidRPr="00280290" w:rsidRDefault="006C1607" w:rsidP="0043430B">
      <w:pPr>
        <w:pStyle w:val="FootnoteText"/>
      </w:pPr>
      <w:r w:rsidRPr="00280290">
        <w:rPr>
          <w:rStyle w:val="FootnoteReference"/>
        </w:rPr>
        <w:footnoteRef/>
      </w:r>
      <w:r>
        <w:rPr>
          <w:lang w:val="en-US"/>
        </w:rPr>
        <w:t xml:space="preserve"> S</w:t>
      </w:r>
      <w:r w:rsidRPr="00280290">
        <w:t xml:space="preserve">4.1, </w:t>
      </w:r>
      <w:r w:rsidRPr="00280290">
        <w:rPr>
          <w:i/>
        </w:rPr>
        <w:t>Irish Youth Justice Service Standards &amp; Criteria for Children Detention Schools</w:t>
      </w:r>
      <w:r>
        <w:t xml:space="preserve">, </w:t>
      </w:r>
      <w:r w:rsidRPr="00280290">
        <w:t>(November 2008) 9.</w:t>
      </w:r>
    </w:p>
  </w:footnote>
  <w:footnote w:id="286">
    <w:p w14:paraId="09A6660D" w14:textId="77777777" w:rsidR="006C1607" w:rsidRPr="00280290" w:rsidRDefault="006C1607" w:rsidP="0043430B">
      <w:pPr>
        <w:pStyle w:val="FootnoteText"/>
      </w:pPr>
      <w:r w:rsidRPr="00280290">
        <w:rPr>
          <w:rStyle w:val="FootnoteReference"/>
        </w:rPr>
        <w:footnoteRef/>
      </w:r>
      <w:r w:rsidRPr="00280290">
        <w:t xml:space="preserve"> Interview with Child Rights Expert conducted by Eilionoir Flynn and Jenni Kline on 24 January 2014.</w:t>
      </w:r>
    </w:p>
  </w:footnote>
  <w:footnote w:id="287">
    <w:p w14:paraId="4FA5AE21" w14:textId="77777777" w:rsidR="006C1607" w:rsidRPr="00280290" w:rsidRDefault="006C1607" w:rsidP="0043430B">
      <w:pPr>
        <w:pStyle w:val="FootnoteText"/>
      </w:pPr>
      <w:r w:rsidRPr="00280290">
        <w:rPr>
          <w:rStyle w:val="FootnoteReference"/>
        </w:rPr>
        <w:footnoteRef/>
      </w:r>
      <w:r w:rsidRPr="00280290">
        <w:t xml:space="preserve"> Law Society’s Law Reform Committee, ‘Rights-based Child Law-The case for reform-Part I’ (December 2005) 50.</w:t>
      </w:r>
    </w:p>
  </w:footnote>
  <w:footnote w:id="288">
    <w:p w14:paraId="221604AD" w14:textId="77777777" w:rsidR="006C1607" w:rsidRPr="00280290" w:rsidRDefault="006C1607" w:rsidP="00641E77">
      <w:pPr>
        <w:pStyle w:val="FootnoteText"/>
      </w:pPr>
      <w:r w:rsidRPr="00280290">
        <w:rPr>
          <w:rStyle w:val="FootnoteReference"/>
        </w:rPr>
        <w:footnoteRef/>
      </w:r>
      <w:r>
        <w:rPr>
          <w:lang w:val="en-US"/>
        </w:rPr>
        <w:t xml:space="preserve"> </w:t>
      </w:r>
      <w:proofErr w:type="gramStart"/>
      <w:r>
        <w:rPr>
          <w:lang w:val="en-US"/>
        </w:rPr>
        <w:t>S</w:t>
      </w:r>
      <w:r w:rsidRPr="00280290">
        <w:t>67 Garda Síochána Act 2005.</w:t>
      </w:r>
      <w:proofErr w:type="gramEnd"/>
    </w:p>
  </w:footnote>
  <w:footnote w:id="289">
    <w:p w14:paraId="41BE2EC6" w14:textId="77777777" w:rsidR="006C1607" w:rsidRPr="00280290" w:rsidRDefault="006C1607" w:rsidP="00641E77">
      <w:pPr>
        <w:pStyle w:val="FootnoteText"/>
      </w:pPr>
      <w:r w:rsidRPr="00280290">
        <w:rPr>
          <w:rStyle w:val="FootnoteReference"/>
        </w:rPr>
        <w:footnoteRef/>
      </w:r>
      <w:r>
        <w:t xml:space="preserve"> </w:t>
      </w:r>
      <w:proofErr w:type="gramStart"/>
      <w:r>
        <w:t>S83(</w:t>
      </w:r>
      <w:proofErr w:type="gramEnd"/>
      <w:r>
        <w:t>1)</w:t>
      </w:r>
      <w:r w:rsidRPr="00280290">
        <w:t>(b) Garda Síochána Act 2005.</w:t>
      </w:r>
    </w:p>
  </w:footnote>
  <w:footnote w:id="290">
    <w:p w14:paraId="3815382C" w14:textId="77777777" w:rsidR="006C1607" w:rsidRPr="00280290" w:rsidRDefault="006C1607" w:rsidP="00641E77">
      <w:pPr>
        <w:pStyle w:val="FootnoteText"/>
      </w:pPr>
      <w:r w:rsidRPr="00280290">
        <w:rPr>
          <w:rStyle w:val="FootnoteReference"/>
        </w:rPr>
        <w:footnoteRef/>
      </w:r>
      <w:r>
        <w:t xml:space="preserve"> </w:t>
      </w:r>
      <w:proofErr w:type="gramStart"/>
      <w:r>
        <w:t>S83(</w:t>
      </w:r>
      <w:proofErr w:type="gramEnd"/>
      <w:r>
        <w:t>1)</w:t>
      </w:r>
      <w:r w:rsidRPr="00280290">
        <w:t xml:space="preserve">(b) Garda </w:t>
      </w:r>
      <w:r w:rsidRPr="006B60D9">
        <w:t>Síochána</w:t>
      </w:r>
      <w:r w:rsidRPr="00280290">
        <w:t xml:space="preserve"> Act 2005.</w:t>
      </w:r>
    </w:p>
  </w:footnote>
  <w:footnote w:id="291">
    <w:p w14:paraId="2118CC73" w14:textId="77777777" w:rsidR="006C1607" w:rsidRPr="003D06F5" w:rsidRDefault="006C1607" w:rsidP="00641E77">
      <w:pPr>
        <w:pStyle w:val="FootnoteText"/>
        <w:rPr>
          <w:lang w:val="en-US"/>
        </w:rPr>
      </w:pPr>
      <w:r w:rsidRPr="00280290">
        <w:rPr>
          <w:rStyle w:val="FootnoteReference"/>
        </w:rPr>
        <w:footnoteRef/>
      </w:r>
      <w:r>
        <w:t xml:space="preserve"> Garda Ombudsman, </w:t>
      </w:r>
      <w:r w:rsidRPr="006B60D9">
        <w:rPr>
          <w:i/>
        </w:rPr>
        <w:t>Caseload</w:t>
      </w:r>
      <w:r>
        <w:rPr>
          <w:i/>
        </w:rPr>
        <w:t xml:space="preserve"> </w:t>
      </w:r>
      <w:r w:rsidRPr="006B60D9">
        <w:rPr>
          <w:i/>
        </w:rPr>
        <w:t>statistics</w:t>
      </w:r>
      <w:r>
        <w:rPr>
          <w:i/>
        </w:rPr>
        <w:t xml:space="preserve"> </w:t>
      </w:r>
      <w:r w:rsidRPr="006B60D9">
        <w:rPr>
          <w:i/>
        </w:rPr>
        <w:t>for complaints containing allegations of discrimination</w:t>
      </w:r>
      <w:r w:rsidRPr="00280290">
        <w:t>, 2007-2012’</w:t>
      </w:r>
      <w:r>
        <w:rPr>
          <w:lang w:val="en-US"/>
        </w:rPr>
        <w:t xml:space="preserve">. </w:t>
      </w:r>
      <w:proofErr w:type="gramStart"/>
      <w:r w:rsidRPr="00943DB4">
        <w:rPr>
          <w:lang w:val="en-US"/>
        </w:rPr>
        <w:t>Available at</w:t>
      </w:r>
      <w:r>
        <w:rPr>
          <w:lang w:val="en-US"/>
        </w:rPr>
        <w:t xml:space="preserve"> </w:t>
      </w:r>
      <w:r w:rsidRPr="00280290">
        <w:t>&lt;http://www.gardaombudsman.ie/docs/publications/DiscriminationStatistics2007-2012.pdf&gt;</w:t>
      </w:r>
      <w:r>
        <w:t xml:space="preserve"> </w:t>
      </w:r>
      <w:r>
        <w:rPr>
          <w:lang w:val="en-US"/>
        </w:rPr>
        <w:t xml:space="preserve">(last </w:t>
      </w:r>
      <w:r>
        <w:t>accessed 14 August 2013).</w:t>
      </w:r>
      <w:proofErr w:type="gramEnd"/>
    </w:p>
  </w:footnote>
  <w:footnote w:id="292">
    <w:p w14:paraId="4F6810CC" w14:textId="77777777" w:rsidR="006C1607" w:rsidRPr="00280290" w:rsidRDefault="006C1607" w:rsidP="00641E77">
      <w:pPr>
        <w:pStyle w:val="FootnoteText"/>
      </w:pPr>
      <w:r w:rsidRPr="00280290">
        <w:rPr>
          <w:rStyle w:val="FootnoteReference"/>
        </w:rPr>
        <w:footnoteRef/>
      </w:r>
      <w:r>
        <w:t xml:space="preserve"> </w:t>
      </w:r>
      <w:proofErr w:type="gramStart"/>
      <w:r>
        <w:t xml:space="preserve">Garda Ombudsman, </w:t>
      </w:r>
      <w:r w:rsidRPr="006B60D9">
        <w:rPr>
          <w:i/>
        </w:rPr>
        <w:t xml:space="preserve">Garda Síochána Ombudsman Commission Annual </w:t>
      </w:r>
      <w:r>
        <w:t xml:space="preserve">Report </w:t>
      </w:r>
      <w:r w:rsidRPr="00280290">
        <w:t>(2012) 14,28</w:t>
      </w:r>
      <w:r>
        <w:rPr>
          <w:lang w:val="en-US"/>
        </w:rPr>
        <w:t>.</w:t>
      </w:r>
      <w:proofErr w:type="gramEnd"/>
      <w:r>
        <w:rPr>
          <w:lang w:val="en-US"/>
        </w:rPr>
        <w:t xml:space="preserve"> </w:t>
      </w:r>
      <w:proofErr w:type="gramStart"/>
      <w:r w:rsidRPr="00943DB4">
        <w:rPr>
          <w:lang w:val="en-US"/>
        </w:rPr>
        <w:t>Available at</w:t>
      </w:r>
      <w:r>
        <w:rPr>
          <w:lang w:val="en-US"/>
        </w:rPr>
        <w:t xml:space="preserve"> </w:t>
      </w:r>
      <w:r w:rsidRPr="00280290">
        <w:t>&lt;http://www.gardaombudsman.ie/docs/publications/GSOC_Annual_Report_2012.pdf&gt;</w:t>
      </w:r>
      <w:r>
        <w:t xml:space="preserve"> </w:t>
      </w:r>
      <w:r>
        <w:rPr>
          <w:lang w:val="en-US"/>
        </w:rPr>
        <w:t xml:space="preserve">(last </w:t>
      </w:r>
      <w:r w:rsidRPr="00280290">
        <w:t>accessed 14 August 2013</w:t>
      </w:r>
      <w:r>
        <w:rPr>
          <w:lang w:val="en-US"/>
        </w:rPr>
        <w:t>)</w:t>
      </w:r>
      <w:r w:rsidRPr="00280290">
        <w:t>.</w:t>
      </w:r>
      <w:proofErr w:type="gramEnd"/>
    </w:p>
  </w:footnote>
  <w:footnote w:id="293">
    <w:p w14:paraId="665944B7" w14:textId="77777777" w:rsidR="006C1607" w:rsidRPr="00280290" w:rsidRDefault="006C1607" w:rsidP="00641E77">
      <w:pPr>
        <w:pStyle w:val="FootnoteText"/>
      </w:pPr>
      <w:r w:rsidRPr="00280290">
        <w:rPr>
          <w:rStyle w:val="FootnoteReference"/>
        </w:rPr>
        <w:footnoteRef/>
      </w:r>
      <w:r w:rsidRPr="00280290">
        <w:t xml:space="preserve"> Garda Ombudsman, Case Summaries</w:t>
      </w:r>
      <w:r>
        <w:rPr>
          <w:lang w:val="en-US"/>
        </w:rPr>
        <w:t xml:space="preserve">. </w:t>
      </w:r>
      <w:proofErr w:type="gramStart"/>
      <w:r>
        <w:rPr>
          <w:lang w:val="en-US"/>
        </w:rPr>
        <w:t xml:space="preserve">Available at </w:t>
      </w:r>
      <w:r w:rsidRPr="00280290">
        <w:t>&lt;http://www.gardaombudsman.ie/casesummaries.htm&gt;</w:t>
      </w:r>
      <w:r>
        <w:t xml:space="preserve"> </w:t>
      </w:r>
      <w:r>
        <w:rPr>
          <w:lang w:val="en-US"/>
        </w:rPr>
        <w:t xml:space="preserve">(last </w:t>
      </w:r>
      <w:r w:rsidRPr="00280290">
        <w:t>accessed 14 August 2013</w:t>
      </w:r>
      <w:r>
        <w:rPr>
          <w:lang w:val="en-US"/>
        </w:rPr>
        <w:t>)</w:t>
      </w:r>
      <w:r w:rsidRPr="00280290">
        <w:t>.</w:t>
      </w:r>
      <w:proofErr w:type="gramEnd"/>
    </w:p>
  </w:footnote>
  <w:footnote w:id="294">
    <w:p w14:paraId="09ADFBD2" w14:textId="77777777" w:rsidR="006C1607" w:rsidRPr="00280290" w:rsidRDefault="006C1607" w:rsidP="00641E77">
      <w:pPr>
        <w:pStyle w:val="FootnoteText"/>
      </w:pPr>
      <w:r w:rsidRPr="00280290">
        <w:rPr>
          <w:rStyle w:val="FootnoteReference"/>
        </w:rPr>
        <w:footnoteRef/>
      </w:r>
      <w:r>
        <w:rPr>
          <w:lang w:val="en-US"/>
        </w:rPr>
        <w:t xml:space="preserve"> </w:t>
      </w:r>
      <w:proofErr w:type="gramStart"/>
      <w:r>
        <w:rPr>
          <w:lang w:val="en-US"/>
        </w:rPr>
        <w:t>S</w:t>
      </w:r>
      <w:r w:rsidRPr="00280290">
        <w:t>4 Equal Status Act 2000.</w:t>
      </w:r>
      <w:proofErr w:type="gramEnd"/>
    </w:p>
  </w:footnote>
  <w:footnote w:id="295">
    <w:p w14:paraId="72A26ADF" w14:textId="77777777" w:rsidR="006C1607" w:rsidRPr="00280290" w:rsidRDefault="006C1607" w:rsidP="00AA4D5F">
      <w:pPr>
        <w:pStyle w:val="FootnoteText"/>
      </w:pPr>
      <w:r w:rsidRPr="00280290">
        <w:rPr>
          <w:rStyle w:val="FootnoteReference"/>
        </w:rPr>
        <w:footnoteRef/>
      </w:r>
      <w:r>
        <w:t xml:space="preserve"> </w:t>
      </w:r>
      <w:proofErr w:type="gramStart"/>
      <w:r>
        <w:t>S</w:t>
      </w:r>
      <w:r w:rsidRPr="00280290">
        <w:t>21, Practice Direction, District Court, DC04-Children Court,  (30 January 2014).</w:t>
      </w:r>
      <w:proofErr w:type="gramEnd"/>
      <w:r w:rsidRPr="00280290">
        <w:t xml:space="preserve"> </w:t>
      </w:r>
      <w:r w:rsidRPr="00943DB4">
        <w:t>Available at</w:t>
      </w:r>
      <w:r>
        <w:t xml:space="preserve"> </w:t>
      </w:r>
      <w:r w:rsidRPr="00280290">
        <w:t>&lt;http://www.courts.ie/Courts.ie/library3.nsf/pagecurrent/DE2140128F4C0E1580257C7800515BB1</w:t>
      </w:r>
      <w:proofErr w:type="gramStart"/>
      <w:r w:rsidRPr="00280290">
        <w:t>?opendocument</w:t>
      </w:r>
      <w:proofErr w:type="gramEnd"/>
      <w:r w:rsidRPr="00280290">
        <w:t>&gt;</w:t>
      </w:r>
      <w:r>
        <w:t xml:space="preserve"> </w:t>
      </w:r>
      <w:r>
        <w:rPr>
          <w:lang w:val="en-US"/>
        </w:rPr>
        <w:t xml:space="preserve">(last </w:t>
      </w:r>
      <w:r>
        <w:t>a</w:t>
      </w:r>
      <w:r w:rsidRPr="00280290">
        <w:t>ccessed 26 March 2014</w:t>
      </w:r>
      <w:r>
        <w:rPr>
          <w:lang w:val="en-US"/>
        </w:rPr>
        <w:t>)</w:t>
      </w:r>
      <w:r w:rsidRPr="00280290">
        <w:t>.</w:t>
      </w:r>
    </w:p>
  </w:footnote>
  <w:footnote w:id="296">
    <w:p w14:paraId="5BEAE712" w14:textId="77777777" w:rsidR="006C1607" w:rsidRPr="00280290" w:rsidRDefault="006C1607" w:rsidP="00AA4D5F">
      <w:pPr>
        <w:pStyle w:val="FootnoteText"/>
      </w:pPr>
      <w:r w:rsidRPr="00280290">
        <w:rPr>
          <w:rStyle w:val="FootnoteReference"/>
        </w:rPr>
        <w:footnoteRef/>
      </w:r>
      <w:r>
        <w:t xml:space="preserve"> </w:t>
      </w:r>
      <w:proofErr w:type="gramStart"/>
      <w:r>
        <w:t>S</w:t>
      </w:r>
      <w:r w:rsidRPr="00280290">
        <w:t>19 Practice Direction, District Court, DC04-Children Court,  (30 January 2014).</w:t>
      </w:r>
      <w:proofErr w:type="gramEnd"/>
      <w:r w:rsidRPr="00280290">
        <w:t xml:space="preserve"> </w:t>
      </w:r>
      <w:r w:rsidRPr="00943DB4">
        <w:t>Available at</w:t>
      </w:r>
      <w:r>
        <w:t xml:space="preserve">  </w:t>
      </w:r>
      <w:r w:rsidRPr="00280290">
        <w:t>&lt;http://www.courts.ie/Courts.ie/library3.nsf/pagecurrent/DE2140128F4C0E15</w:t>
      </w:r>
      <w:r>
        <w:t>80257C7800515BB1</w:t>
      </w:r>
      <w:proofErr w:type="gramStart"/>
      <w:r>
        <w:t>?opendocument</w:t>
      </w:r>
      <w:proofErr w:type="gramEnd"/>
      <w:r>
        <w:t>&gt; (last a</w:t>
      </w:r>
      <w:r w:rsidRPr="00280290">
        <w:t>ccessed 26 March 2014</w:t>
      </w:r>
      <w:r>
        <w:rPr>
          <w:lang w:val="en-US"/>
        </w:rPr>
        <w:t>)</w:t>
      </w:r>
      <w:r w:rsidRPr="00280290">
        <w:t>.</w:t>
      </w:r>
    </w:p>
  </w:footnote>
  <w:footnote w:id="297">
    <w:p w14:paraId="5DAF7355" w14:textId="77777777" w:rsidR="006C1607" w:rsidRPr="00280290" w:rsidRDefault="006C1607" w:rsidP="00AA4D5F">
      <w:pPr>
        <w:pStyle w:val="FootnoteText"/>
      </w:pPr>
      <w:r w:rsidRPr="00280290">
        <w:rPr>
          <w:rStyle w:val="FootnoteReference"/>
        </w:rPr>
        <w:footnoteRef/>
      </w:r>
      <w:r w:rsidRPr="00280290">
        <w:t xml:space="preserve"> Interview with Solicitor conducted by Jenni Kline 14 February 2014.</w:t>
      </w:r>
    </w:p>
  </w:footnote>
  <w:footnote w:id="298">
    <w:p w14:paraId="2EE85CE5" w14:textId="77777777" w:rsidR="006C1607" w:rsidRPr="00280290" w:rsidRDefault="006C1607" w:rsidP="00AA4D5F">
      <w:pPr>
        <w:pStyle w:val="FootnoteText"/>
      </w:pPr>
      <w:r w:rsidRPr="00280290">
        <w:rPr>
          <w:rStyle w:val="FootnoteReference"/>
        </w:rPr>
        <w:footnoteRef/>
      </w:r>
      <w:r w:rsidRPr="00280290">
        <w:t xml:space="preserve"> Interview with Child Rights Expert conducted by Eilionoir Flynn and Jenni Kline on 24 January 2014.</w:t>
      </w:r>
    </w:p>
  </w:footnote>
  <w:footnote w:id="299">
    <w:p w14:paraId="23408EF1" w14:textId="77777777" w:rsidR="006C1607" w:rsidRPr="00280290" w:rsidRDefault="006C1607">
      <w:pPr>
        <w:pStyle w:val="FootnoteText"/>
        <w:rPr>
          <w:lang w:val="en-US"/>
        </w:rPr>
      </w:pPr>
      <w:r w:rsidRPr="00280290">
        <w:rPr>
          <w:rStyle w:val="FootnoteReference"/>
        </w:rPr>
        <w:footnoteRef/>
      </w:r>
      <w:r w:rsidRPr="00280290">
        <w:t xml:space="preserve"> Interview with Gardai conducted by Jenni Kline on 9 June 2014.</w:t>
      </w:r>
    </w:p>
  </w:footnote>
  <w:footnote w:id="300">
    <w:p w14:paraId="7EB86D8B" w14:textId="77777777" w:rsidR="006C1607" w:rsidRPr="00280290" w:rsidRDefault="006C1607" w:rsidP="00AA4D5F">
      <w:pPr>
        <w:pStyle w:val="FootnoteText"/>
      </w:pPr>
      <w:r w:rsidRPr="00280290">
        <w:rPr>
          <w:rStyle w:val="FootnoteReference"/>
        </w:rPr>
        <w:footnoteRef/>
      </w:r>
      <w:r>
        <w:rPr>
          <w:i/>
        </w:rPr>
        <w:t xml:space="preserve"> </w:t>
      </w:r>
      <w:r w:rsidRPr="00280290">
        <w:rPr>
          <w:i/>
        </w:rPr>
        <w:t>Good Practice Guidelines for persons involved in video recording interviews with complainants under 14 years of age (or with intellectual disability) for evidential purposes in accordance with Section 16(1)(B) of the Criminal Evidence Act, 1992 in cases involving sexual or violent offences</w:t>
      </w:r>
      <w:r w:rsidRPr="00280290">
        <w:t>, (July 2003).</w:t>
      </w:r>
    </w:p>
  </w:footnote>
  <w:footnote w:id="301">
    <w:p w14:paraId="044F5DF8" w14:textId="77777777" w:rsidR="006C1607" w:rsidRPr="00280290" w:rsidRDefault="006C1607" w:rsidP="00AA4D5F">
      <w:pPr>
        <w:pStyle w:val="FootnoteText"/>
      </w:pPr>
      <w:r w:rsidRPr="00280290">
        <w:rPr>
          <w:rStyle w:val="FootnoteReference"/>
        </w:rPr>
        <w:footnoteRef/>
      </w:r>
      <w:r w:rsidRPr="00280290">
        <w:t xml:space="preserve"> Interview with Gardai conducted by Jenni Kline on 9 June 2014.</w:t>
      </w:r>
    </w:p>
  </w:footnote>
  <w:footnote w:id="302">
    <w:p w14:paraId="73D498EE" w14:textId="77777777" w:rsidR="006C1607" w:rsidRPr="00280290" w:rsidRDefault="006C1607" w:rsidP="00AA4D5F">
      <w:pPr>
        <w:pStyle w:val="FootnoteText"/>
      </w:pPr>
      <w:r w:rsidRPr="00280290">
        <w:rPr>
          <w:rStyle w:val="FootnoteReference"/>
        </w:rPr>
        <w:footnoteRef/>
      </w:r>
      <w:r w:rsidRPr="00280290">
        <w:t xml:space="preserve"> Interview with Parent 3 on 28 February 2014.</w:t>
      </w:r>
    </w:p>
  </w:footnote>
  <w:footnote w:id="303">
    <w:p w14:paraId="3DFBD840" w14:textId="77777777" w:rsidR="006C1607" w:rsidRPr="00280290" w:rsidRDefault="006C1607" w:rsidP="00AA4D5F">
      <w:pPr>
        <w:pStyle w:val="FootnoteText"/>
      </w:pPr>
      <w:r w:rsidRPr="00280290">
        <w:rPr>
          <w:rStyle w:val="FootnoteReference"/>
        </w:rPr>
        <w:footnoteRef/>
      </w:r>
      <w:r>
        <w:t xml:space="preserve"> S18 Children Act 2001: S</w:t>
      </w:r>
      <w:r w:rsidRPr="00280290">
        <w:t>123 Criminal Justice Act 2006.</w:t>
      </w:r>
    </w:p>
  </w:footnote>
  <w:footnote w:id="304">
    <w:p w14:paraId="01A3D769" w14:textId="77777777" w:rsidR="006C1607" w:rsidRPr="00AA3F97" w:rsidRDefault="006C1607" w:rsidP="00AA4D5F">
      <w:pPr>
        <w:pStyle w:val="FootnoteText"/>
        <w:rPr>
          <w:lang w:val="en-US"/>
        </w:rPr>
      </w:pPr>
      <w:r w:rsidRPr="00280290">
        <w:rPr>
          <w:rStyle w:val="FootnoteReference"/>
        </w:rPr>
        <w:footnoteRef/>
      </w:r>
      <w:r>
        <w:t xml:space="preserve"> </w:t>
      </w:r>
      <w:r w:rsidRPr="00280290">
        <w:t>Irish Youth Justice Service, ‘Irish Youth Justice Service Annual Report’ (2010) 26.</w:t>
      </w:r>
      <w:r w:rsidRPr="00943DB4">
        <w:rPr>
          <w:lang w:val="en-US"/>
        </w:rPr>
        <w:t>Available at</w:t>
      </w:r>
      <w:r>
        <w:rPr>
          <w:lang w:val="en-US"/>
        </w:rPr>
        <w:t xml:space="preserve"> </w:t>
      </w:r>
      <w:r w:rsidRPr="00280290">
        <w:t>&lt;http://www.iyjs.ie/en/IYJS/IYJS%20Annual%20Report%202010.pdf/Files/IY</w:t>
      </w:r>
      <w:r>
        <w:t>JS%20Annual%20Report%202010.pdf</w:t>
      </w:r>
      <w:r w:rsidRPr="00280290">
        <w:t>&gt;</w:t>
      </w:r>
      <w:r>
        <w:t xml:space="preserve"> </w:t>
      </w:r>
      <w:r>
        <w:rPr>
          <w:lang w:val="en-US"/>
        </w:rPr>
        <w:t xml:space="preserve">(last </w:t>
      </w:r>
      <w:r>
        <w:t>accessed 15 August 2013).</w:t>
      </w:r>
    </w:p>
  </w:footnote>
  <w:footnote w:id="305">
    <w:p w14:paraId="058B878D" w14:textId="77777777" w:rsidR="006C1607" w:rsidRPr="00280290" w:rsidRDefault="006C1607" w:rsidP="00AA4D5F">
      <w:pPr>
        <w:pStyle w:val="FootnoteText"/>
      </w:pPr>
      <w:r w:rsidRPr="00280290">
        <w:rPr>
          <w:rStyle w:val="FootnoteReference"/>
        </w:rPr>
        <w:footnoteRef/>
      </w:r>
      <w:r w:rsidRPr="00280290">
        <w:t xml:space="preserve"> </w:t>
      </w:r>
      <w:proofErr w:type="gramStart"/>
      <w:r w:rsidRPr="00280290">
        <w:t>Childhood Development I</w:t>
      </w:r>
      <w:r>
        <w:t>nitiative, Restorative Practice.</w:t>
      </w:r>
      <w:proofErr w:type="gramEnd"/>
      <w:r>
        <w:t xml:space="preserve"> </w:t>
      </w:r>
      <w:proofErr w:type="gramStart"/>
      <w:r>
        <w:t xml:space="preserve">Available at </w:t>
      </w:r>
      <w:r w:rsidRPr="00280290">
        <w:t>&lt;http://www.twcdi.ie/our-</w:t>
      </w:r>
      <w:r>
        <w:t>programmes/restorative-practice</w:t>
      </w:r>
      <w:r w:rsidRPr="00280290">
        <w:t>&gt;</w:t>
      </w:r>
      <w:r>
        <w:t xml:space="preserve"> </w:t>
      </w:r>
      <w:r>
        <w:rPr>
          <w:lang w:val="en-US"/>
        </w:rPr>
        <w:t xml:space="preserve">(last </w:t>
      </w:r>
      <w:r w:rsidRPr="00280290">
        <w:t>accessed 28 October 2013</w:t>
      </w:r>
      <w:r>
        <w:rPr>
          <w:lang w:val="en-US"/>
        </w:rPr>
        <w:t>)</w:t>
      </w:r>
      <w:r w:rsidRPr="00280290">
        <w:t>.</w:t>
      </w:r>
      <w:proofErr w:type="gramEnd"/>
    </w:p>
  </w:footnote>
  <w:footnote w:id="306">
    <w:p w14:paraId="54DBECBC" w14:textId="77777777" w:rsidR="006C1607" w:rsidRPr="00280290" w:rsidRDefault="006C1607" w:rsidP="00641E77">
      <w:pPr>
        <w:pStyle w:val="FootnoteText"/>
      </w:pPr>
      <w:r w:rsidRPr="00280290">
        <w:rPr>
          <w:rStyle w:val="FootnoteReference"/>
        </w:rPr>
        <w:footnoteRef/>
      </w:r>
      <w:r w:rsidRPr="00280290">
        <w:t xml:space="preserve"> Interview with Solicitor conducted by Jenni Kline on 14 February 2014.</w:t>
      </w:r>
    </w:p>
  </w:footnote>
  <w:footnote w:id="307">
    <w:p w14:paraId="1415DCB2" w14:textId="77777777" w:rsidR="006C1607" w:rsidRPr="00280290" w:rsidRDefault="006C1607" w:rsidP="00641E77">
      <w:pPr>
        <w:pStyle w:val="FootnoteText"/>
      </w:pPr>
      <w:r w:rsidRPr="00280290">
        <w:rPr>
          <w:rStyle w:val="FootnoteReference"/>
        </w:rPr>
        <w:footnoteRef/>
      </w:r>
      <w:r w:rsidRPr="00280290">
        <w:t xml:space="preserve"> Interview with Solicitor conducted by Jenni Kline on 14 February 2014.</w:t>
      </w:r>
    </w:p>
  </w:footnote>
  <w:footnote w:id="308">
    <w:p w14:paraId="25C05E93" w14:textId="77777777" w:rsidR="006C1607" w:rsidRPr="00280290" w:rsidRDefault="006C1607" w:rsidP="005B7A9E">
      <w:pPr>
        <w:pStyle w:val="FootnoteText"/>
      </w:pPr>
      <w:r w:rsidRPr="00280290">
        <w:rPr>
          <w:rStyle w:val="FootnoteReference"/>
        </w:rPr>
        <w:footnoteRef/>
      </w:r>
      <w:proofErr w:type="gramStart"/>
      <w:r w:rsidRPr="00943DB4">
        <w:t>The People at the Suit of the Director of Public Prosecutions v. D.G</w:t>
      </w:r>
      <w:r w:rsidRPr="00280290">
        <w:t xml:space="preserve"> [2005] IE CCA 75</w:t>
      </w:r>
      <w:r w:rsidRPr="00280290">
        <w:rPr>
          <w:i/>
        </w:rPr>
        <w:t>.</w:t>
      </w:r>
      <w:proofErr w:type="gramEnd"/>
    </w:p>
  </w:footnote>
  <w:footnote w:id="309">
    <w:p w14:paraId="5FF8F2EF" w14:textId="77777777" w:rsidR="006C1607" w:rsidRPr="00280290" w:rsidRDefault="006C1607" w:rsidP="005B7A9E">
      <w:pPr>
        <w:pStyle w:val="FootnoteText"/>
      </w:pPr>
      <w:r w:rsidRPr="00280290">
        <w:rPr>
          <w:rStyle w:val="FootnoteReference"/>
        </w:rPr>
        <w:footnoteRef/>
      </w:r>
      <w:proofErr w:type="gramStart"/>
      <w:r w:rsidRPr="00943DB4">
        <w:t xml:space="preserve">The People at the Suit of the Director of Public Prosecutions v. D.G </w:t>
      </w:r>
      <w:r w:rsidRPr="00280290">
        <w:t>[2005] IE CCA 75</w:t>
      </w:r>
      <w:r w:rsidRPr="00280290">
        <w:rPr>
          <w:i/>
        </w:rPr>
        <w:t>.</w:t>
      </w:r>
      <w:proofErr w:type="gramEnd"/>
    </w:p>
  </w:footnote>
  <w:footnote w:id="310">
    <w:p w14:paraId="6C8CAA3D" w14:textId="77777777" w:rsidR="006C1607" w:rsidRPr="00280290" w:rsidRDefault="006C1607" w:rsidP="005B7A9E">
      <w:pPr>
        <w:pStyle w:val="FootnoteText"/>
      </w:pPr>
      <w:r w:rsidRPr="00280290">
        <w:rPr>
          <w:rStyle w:val="FootnoteReference"/>
        </w:rPr>
        <w:footnoteRef/>
      </w:r>
      <w:proofErr w:type="gramStart"/>
      <w:r w:rsidRPr="00943DB4">
        <w:t>The People at the Suit of the Director of Public Prosecutions v. D.G</w:t>
      </w:r>
      <w:r w:rsidRPr="00280290">
        <w:t xml:space="preserve"> [2005] IE CCA 75</w:t>
      </w:r>
      <w:r w:rsidRPr="00280290">
        <w:rPr>
          <w:i/>
        </w:rPr>
        <w:t>.</w:t>
      </w:r>
      <w:proofErr w:type="gramEnd"/>
    </w:p>
  </w:footnote>
  <w:footnote w:id="311">
    <w:p w14:paraId="6B6BEA2E" w14:textId="77777777" w:rsidR="006C1607" w:rsidRPr="00280290" w:rsidRDefault="006C1607" w:rsidP="005B7A9E">
      <w:pPr>
        <w:pStyle w:val="FootnoteText"/>
      </w:pPr>
      <w:r w:rsidRPr="00280290">
        <w:rPr>
          <w:rStyle w:val="FootnoteReference"/>
        </w:rPr>
        <w:footnoteRef/>
      </w:r>
      <w:r w:rsidRPr="00280290">
        <w:rPr>
          <w:i/>
        </w:rPr>
        <w:t>Teen found guilty of Laois murder</w:t>
      </w:r>
      <w:r w:rsidRPr="00280290">
        <w:t xml:space="preserve">, </w:t>
      </w:r>
      <w:r w:rsidRPr="00280290">
        <w:rPr>
          <w:i/>
        </w:rPr>
        <w:t>breakingnews.ie</w:t>
      </w:r>
      <w:r>
        <w:t xml:space="preserve"> 28 July 2004. </w:t>
      </w:r>
      <w:proofErr w:type="gramStart"/>
      <w:r w:rsidRPr="00943DB4">
        <w:t xml:space="preserve">Available at </w:t>
      </w:r>
      <w:r>
        <w:t>&lt;</w:t>
      </w:r>
      <w:r w:rsidRPr="00280290">
        <w:t>http://www.breakingnews.ie/ireland/teen-found-guil</w:t>
      </w:r>
      <w:r>
        <w:t>ty-of-laois-murder-159159.html&gt;</w:t>
      </w:r>
      <w:r>
        <w:rPr>
          <w:lang w:val="en-US"/>
        </w:rPr>
        <w:t xml:space="preserve">(last </w:t>
      </w:r>
      <w:r>
        <w:t>a</w:t>
      </w:r>
      <w:r w:rsidRPr="00280290">
        <w:t>ccessed 26 March 2014</w:t>
      </w:r>
      <w:r>
        <w:rPr>
          <w:lang w:val="en-US"/>
        </w:rPr>
        <w:t>)</w:t>
      </w:r>
      <w:r w:rsidRPr="00280290">
        <w:t>.</w:t>
      </w:r>
      <w:proofErr w:type="gramEnd"/>
    </w:p>
  </w:footnote>
  <w:footnote w:id="312">
    <w:p w14:paraId="2603E903" w14:textId="77777777" w:rsidR="006C1607" w:rsidRPr="00280290" w:rsidRDefault="006C1607" w:rsidP="005B7A9E">
      <w:pPr>
        <w:pStyle w:val="FootnoteText"/>
      </w:pPr>
      <w:r w:rsidRPr="00280290">
        <w:rPr>
          <w:rStyle w:val="FootnoteReference"/>
        </w:rPr>
        <w:footnoteRef/>
      </w:r>
      <w:r w:rsidRPr="00280290">
        <w:t xml:space="preserve"> Liam Collins, </w:t>
      </w:r>
      <w:r>
        <w:rPr>
          <w:lang w:val="en-US"/>
        </w:rPr>
        <w:t>‘</w:t>
      </w:r>
      <w:r w:rsidRPr="008A57D9">
        <w:t>Vicious</w:t>
      </w:r>
      <w:r>
        <w:t xml:space="preserve"> </w:t>
      </w:r>
      <w:r w:rsidRPr="008A57D9">
        <w:t>Killer shocks court with stark lack of remorse</w:t>
      </w:r>
      <w:r>
        <w:rPr>
          <w:lang w:val="en-US"/>
        </w:rPr>
        <w:t>’</w:t>
      </w:r>
      <w:r w:rsidRPr="008A57D9">
        <w:rPr>
          <w:i/>
        </w:rPr>
        <w:t>Irish Independent</w:t>
      </w:r>
      <w:r w:rsidRPr="00280290">
        <w:t xml:space="preserve"> 16 October 2014. </w:t>
      </w:r>
    </w:p>
  </w:footnote>
  <w:footnote w:id="313">
    <w:p w14:paraId="7F0EED21" w14:textId="77777777" w:rsidR="006C1607" w:rsidRPr="00280290" w:rsidRDefault="006C1607" w:rsidP="005B7A9E">
      <w:pPr>
        <w:pStyle w:val="FootnoteText"/>
      </w:pPr>
      <w:r w:rsidRPr="00280290">
        <w:rPr>
          <w:rStyle w:val="FootnoteReference"/>
        </w:rPr>
        <w:footnoteRef/>
      </w:r>
      <w:r>
        <w:rPr>
          <w:lang w:val="en-US"/>
        </w:rPr>
        <w:t xml:space="preserve"> ‘</w:t>
      </w:r>
      <w:r w:rsidRPr="00C87F9E">
        <w:t>Mother says life is unbearable without her son</w:t>
      </w:r>
      <w:r>
        <w:rPr>
          <w:lang w:val="en-US"/>
        </w:rPr>
        <w:t>’</w:t>
      </w:r>
      <w:r w:rsidRPr="00C87F9E">
        <w:rPr>
          <w:i/>
        </w:rPr>
        <w:t>Irish Times</w:t>
      </w:r>
      <w:r w:rsidRPr="00280290">
        <w:t xml:space="preserve">, 13 October 2004: </w:t>
      </w:r>
      <w:r>
        <w:rPr>
          <w:lang w:val="en-US"/>
        </w:rPr>
        <w:t xml:space="preserve">Liam Collins, </w:t>
      </w:r>
      <w:r w:rsidRPr="00943DB4">
        <w:rPr>
          <w:lang w:val="en-US"/>
        </w:rPr>
        <w:t>‘</w:t>
      </w:r>
      <w:r w:rsidRPr="00943DB4">
        <w:t>Killer’s lack of remorse chilling-victim’s Mother’</w:t>
      </w:r>
      <w:r>
        <w:t xml:space="preserve"> </w:t>
      </w:r>
      <w:r w:rsidRPr="00943DB4">
        <w:rPr>
          <w:i/>
        </w:rPr>
        <w:t>Irish Times</w:t>
      </w:r>
      <w:r w:rsidRPr="00280290">
        <w:t>, 12 October 2004.</w:t>
      </w:r>
    </w:p>
  </w:footnote>
  <w:footnote w:id="314">
    <w:p w14:paraId="7AAC1168" w14:textId="77777777" w:rsidR="006C1607" w:rsidRPr="00280290" w:rsidRDefault="006C1607" w:rsidP="005B7A9E">
      <w:pPr>
        <w:pStyle w:val="FootnoteText"/>
      </w:pPr>
      <w:r w:rsidRPr="00280290">
        <w:rPr>
          <w:rStyle w:val="FootnoteReference"/>
        </w:rPr>
        <w:footnoteRef/>
      </w:r>
      <w:r w:rsidRPr="00280290">
        <w:t xml:space="preserve"> </w:t>
      </w:r>
      <w:proofErr w:type="gramStart"/>
      <w:r w:rsidRPr="00280290">
        <w:t xml:space="preserve">Liam Collins, </w:t>
      </w:r>
      <w:r w:rsidRPr="00020574">
        <w:t>Vicious</w:t>
      </w:r>
      <w:r>
        <w:t xml:space="preserve"> </w:t>
      </w:r>
      <w:r w:rsidRPr="00020574">
        <w:t>Killer shocks c</w:t>
      </w:r>
      <w:r>
        <w:t xml:space="preserve">ourt with stark lack of remorse’ </w:t>
      </w:r>
      <w:r w:rsidRPr="00020574">
        <w:rPr>
          <w:i/>
        </w:rPr>
        <w:t>Irish</w:t>
      </w:r>
      <w:r>
        <w:rPr>
          <w:i/>
        </w:rPr>
        <w:t xml:space="preserve"> </w:t>
      </w:r>
      <w:r w:rsidRPr="00020574">
        <w:rPr>
          <w:i/>
        </w:rPr>
        <w:t>Independent</w:t>
      </w:r>
      <w:r w:rsidRPr="00280290">
        <w:t xml:space="preserve"> 16 October 2014.</w:t>
      </w:r>
      <w:proofErr w:type="gramEnd"/>
    </w:p>
  </w:footnote>
  <w:footnote w:id="315">
    <w:p w14:paraId="3624BDE4" w14:textId="77777777" w:rsidR="006C1607" w:rsidRPr="00280290" w:rsidRDefault="006C1607" w:rsidP="005B7A9E">
      <w:pPr>
        <w:pStyle w:val="FootnoteText"/>
      </w:pPr>
      <w:r w:rsidRPr="00280290">
        <w:rPr>
          <w:rStyle w:val="FootnoteReference"/>
        </w:rPr>
        <w:footnoteRef/>
      </w:r>
      <w:r>
        <w:t xml:space="preserve"> </w:t>
      </w:r>
      <w:proofErr w:type="gramStart"/>
      <w:r w:rsidRPr="00943DB4">
        <w:t>The People at the Suit of the Director of Public Prosecutions v. D.G</w:t>
      </w:r>
      <w:r w:rsidRPr="00280290">
        <w:t xml:space="preserve"> [2005] IE CCA 75</w:t>
      </w:r>
      <w:r w:rsidRPr="00280290">
        <w:rPr>
          <w:i/>
        </w:rPr>
        <w:t>.</w:t>
      </w:r>
      <w:proofErr w:type="gramEnd"/>
    </w:p>
  </w:footnote>
  <w:footnote w:id="316">
    <w:p w14:paraId="3A959817" w14:textId="77777777" w:rsidR="006C1607" w:rsidRPr="00280290" w:rsidRDefault="006C1607" w:rsidP="00D35770">
      <w:pPr>
        <w:pStyle w:val="FootnoteText"/>
      </w:pPr>
      <w:r w:rsidRPr="00280290">
        <w:rPr>
          <w:rStyle w:val="FootnoteReference"/>
        </w:rPr>
        <w:footnoteRef/>
      </w:r>
      <w:r w:rsidRPr="00280290">
        <w:t xml:space="preserve"> Interview with Barrister conducted by Jenni Kline on 14 March 2014.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C6651"/>
    <w:multiLevelType w:val="hybridMultilevel"/>
    <w:tmpl w:val="94448940"/>
    <w:lvl w:ilvl="0" w:tplc="0409000F">
      <w:start w:val="1"/>
      <w:numFmt w:val="decimal"/>
      <w:lvlText w:val="%1."/>
      <w:lvlJc w:val="left"/>
      <w:pPr>
        <w:ind w:left="72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827983"/>
    <w:multiLevelType w:val="hybridMultilevel"/>
    <w:tmpl w:val="94448940"/>
    <w:lvl w:ilvl="0" w:tplc="0409000F">
      <w:start w:val="1"/>
      <w:numFmt w:val="decimal"/>
      <w:lvlText w:val="%1."/>
      <w:lvlJc w:val="left"/>
      <w:pPr>
        <w:ind w:left="72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6078D7"/>
    <w:multiLevelType w:val="hybridMultilevel"/>
    <w:tmpl w:val="36EC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02593D"/>
    <w:multiLevelType w:val="hybridMultilevel"/>
    <w:tmpl w:val="944489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2C"/>
    <w:rsid w:val="00000917"/>
    <w:rsid w:val="000039CC"/>
    <w:rsid w:val="0000649C"/>
    <w:rsid w:val="00006D66"/>
    <w:rsid w:val="00020574"/>
    <w:rsid w:val="00030FD8"/>
    <w:rsid w:val="000323CE"/>
    <w:rsid w:val="00034157"/>
    <w:rsid w:val="00040CEA"/>
    <w:rsid w:val="00046554"/>
    <w:rsid w:val="00051106"/>
    <w:rsid w:val="000534B4"/>
    <w:rsid w:val="000543A2"/>
    <w:rsid w:val="0005445C"/>
    <w:rsid w:val="0005600E"/>
    <w:rsid w:val="00057225"/>
    <w:rsid w:val="000636B9"/>
    <w:rsid w:val="00063DB1"/>
    <w:rsid w:val="00070A07"/>
    <w:rsid w:val="0007450C"/>
    <w:rsid w:val="00082B6C"/>
    <w:rsid w:val="00087788"/>
    <w:rsid w:val="00087D56"/>
    <w:rsid w:val="00090823"/>
    <w:rsid w:val="00093C3A"/>
    <w:rsid w:val="000A2971"/>
    <w:rsid w:val="000A71A4"/>
    <w:rsid w:val="000C756C"/>
    <w:rsid w:val="000E32B2"/>
    <w:rsid w:val="000E38CF"/>
    <w:rsid w:val="000E5482"/>
    <w:rsid w:val="001068CE"/>
    <w:rsid w:val="001144EA"/>
    <w:rsid w:val="001149FA"/>
    <w:rsid w:val="001253B4"/>
    <w:rsid w:val="0013052A"/>
    <w:rsid w:val="00132C8A"/>
    <w:rsid w:val="001355A9"/>
    <w:rsid w:val="001423E5"/>
    <w:rsid w:val="001424F7"/>
    <w:rsid w:val="001535BE"/>
    <w:rsid w:val="00161059"/>
    <w:rsid w:val="00164A6A"/>
    <w:rsid w:val="001755E9"/>
    <w:rsid w:val="001758BA"/>
    <w:rsid w:val="00177D4E"/>
    <w:rsid w:val="00181E40"/>
    <w:rsid w:val="001838ED"/>
    <w:rsid w:val="0018402A"/>
    <w:rsid w:val="001903BD"/>
    <w:rsid w:val="001A46F7"/>
    <w:rsid w:val="001A5D76"/>
    <w:rsid w:val="001A6111"/>
    <w:rsid w:val="001B06C9"/>
    <w:rsid w:val="001B5B1E"/>
    <w:rsid w:val="001D70E6"/>
    <w:rsid w:val="001E0560"/>
    <w:rsid w:val="001F4FDF"/>
    <w:rsid w:val="002059AA"/>
    <w:rsid w:val="00205BA6"/>
    <w:rsid w:val="00213701"/>
    <w:rsid w:val="002140DD"/>
    <w:rsid w:val="00215071"/>
    <w:rsid w:val="00217EFA"/>
    <w:rsid w:val="00220E3A"/>
    <w:rsid w:val="00220E8D"/>
    <w:rsid w:val="002210AB"/>
    <w:rsid w:val="00222B73"/>
    <w:rsid w:val="00223282"/>
    <w:rsid w:val="002304DD"/>
    <w:rsid w:val="002342E9"/>
    <w:rsid w:val="00234C6D"/>
    <w:rsid w:val="0024154D"/>
    <w:rsid w:val="00242BF6"/>
    <w:rsid w:val="00245C05"/>
    <w:rsid w:val="00246C51"/>
    <w:rsid w:val="00253D8E"/>
    <w:rsid w:val="00253FBA"/>
    <w:rsid w:val="002541BB"/>
    <w:rsid w:val="002547E5"/>
    <w:rsid w:val="00254DC5"/>
    <w:rsid w:val="00256F32"/>
    <w:rsid w:val="00257FDD"/>
    <w:rsid w:val="0026190E"/>
    <w:rsid w:val="00273BAC"/>
    <w:rsid w:val="00276C78"/>
    <w:rsid w:val="00280290"/>
    <w:rsid w:val="002807D9"/>
    <w:rsid w:val="00281B04"/>
    <w:rsid w:val="00282567"/>
    <w:rsid w:val="0029012D"/>
    <w:rsid w:val="00290641"/>
    <w:rsid w:val="0029139D"/>
    <w:rsid w:val="002937AE"/>
    <w:rsid w:val="00293E75"/>
    <w:rsid w:val="00294E86"/>
    <w:rsid w:val="002962D0"/>
    <w:rsid w:val="002A1CCC"/>
    <w:rsid w:val="002A3E4D"/>
    <w:rsid w:val="002A7F06"/>
    <w:rsid w:val="002B243C"/>
    <w:rsid w:val="002B75CD"/>
    <w:rsid w:val="002C4CA4"/>
    <w:rsid w:val="002C7222"/>
    <w:rsid w:val="002D1AE1"/>
    <w:rsid w:val="002D4411"/>
    <w:rsid w:val="002D46C0"/>
    <w:rsid w:val="002E0C25"/>
    <w:rsid w:val="002F0612"/>
    <w:rsid w:val="003044E0"/>
    <w:rsid w:val="00305FC1"/>
    <w:rsid w:val="0031344E"/>
    <w:rsid w:val="00317647"/>
    <w:rsid w:val="00325031"/>
    <w:rsid w:val="00326637"/>
    <w:rsid w:val="00330556"/>
    <w:rsid w:val="00331F5D"/>
    <w:rsid w:val="003361ED"/>
    <w:rsid w:val="00336B4E"/>
    <w:rsid w:val="00342841"/>
    <w:rsid w:val="00342927"/>
    <w:rsid w:val="00342E41"/>
    <w:rsid w:val="00343AA3"/>
    <w:rsid w:val="00346914"/>
    <w:rsid w:val="0035538F"/>
    <w:rsid w:val="00356BA8"/>
    <w:rsid w:val="00356E14"/>
    <w:rsid w:val="003573CC"/>
    <w:rsid w:val="00364131"/>
    <w:rsid w:val="003654EF"/>
    <w:rsid w:val="0037002F"/>
    <w:rsid w:val="00372799"/>
    <w:rsid w:val="003737D9"/>
    <w:rsid w:val="003857BB"/>
    <w:rsid w:val="003912B7"/>
    <w:rsid w:val="0039478F"/>
    <w:rsid w:val="003A255D"/>
    <w:rsid w:val="003A5A65"/>
    <w:rsid w:val="003A6843"/>
    <w:rsid w:val="003A6ED1"/>
    <w:rsid w:val="003B512A"/>
    <w:rsid w:val="003B694B"/>
    <w:rsid w:val="003C6C9A"/>
    <w:rsid w:val="003C77B2"/>
    <w:rsid w:val="003D06F5"/>
    <w:rsid w:val="003D1059"/>
    <w:rsid w:val="003D1623"/>
    <w:rsid w:val="003D31FD"/>
    <w:rsid w:val="003D732D"/>
    <w:rsid w:val="003F1A89"/>
    <w:rsid w:val="003F40BF"/>
    <w:rsid w:val="00400F2A"/>
    <w:rsid w:val="00406F80"/>
    <w:rsid w:val="00411263"/>
    <w:rsid w:val="00411BBF"/>
    <w:rsid w:val="0041483C"/>
    <w:rsid w:val="00415979"/>
    <w:rsid w:val="00420439"/>
    <w:rsid w:val="004310C8"/>
    <w:rsid w:val="00431DFC"/>
    <w:rsid w:val="0043430B"/>
    <w:rsid w:val="00442574"/>
    <w:rsid w:val="00445112"/>
    <w:rsid w:val="0045514F"/>
    <w:rsid w:val="004554BA"/>
    <w:rsid w:val="00463A70"/>
    <w:rsid w:val="00464197"/>
    <w:rsid w:val="004659B9"/>
    <w:rsid w:val="0046754F"/>
    <w:rsid w:val="00470197"/>
    <w:rsid w:val="0047255C"/>
    <w:rsid w:val="00482FEE"/>
    <w:rsid w:val="0048361C"/>
    <w:rsid w:val="0049015D"/>
    <w:rsid w:val="004920B6"/>
    <w:rsid w:val="00496E0E"/>
    <w:rsid w:val="004A29DB"/>
    <w:rsid w:val="004A2BB6"/>
    <w:rsid w:val="004A4ABA"/>
    <w:rsid w:val="004A4AE7"/>
    <w:rsid w:val="004A59E3"/>
    <w:rsid w:val="004B5F42"/>
    <w:rsid w:val="004B6562"/>
    <w:rsid w:val="004C0066"/>
    <w:rsid w:val="004C08E9"/>
    <w:rsid w:val="004D0601"/>
    <w:rsid w:val="004D12C3"/>
    <w:rsid w:val="004E24C6"/>
    <w:rsid w:val="004F0E54"/>
    <w:rsid w:val="004F16D3"/>
    <w:rsid w:val="004F224B"/>
    <w:rsid w:val="004F5613"/>
    <w:rsid w:val="005020B6"/>
    <w:rsid w:val="00505765"/>
    <w:rsid w:val="00506818"/>
    <w:rsid w:val="0051141E"/>
    <w:rsid w:val="0051192B"/>
    <w:rsid w:val="00512232"/>
    <w:rsid w:val="00513131"/>
    <w:rsid w:val="005131C1"/>
    <w:rsid w:val="00515615"/>
    <w:rsid w:val="005202EA"/>
    <w:rsid w:val="005215C4"/>
    <w:rsid w:val="005220C3"/>
    <w:rsid w:val="00526E14"/>
    <w:rsid w:val="00531C1C"/>
    <w:rsid w:val="00533081"/>
    <w:rsid w:val="00533B96"/>
    <w:rsid w:val="00537948"/>
    <w:rsid w:val="005404AB"/>
    <w:rsid w:val="00540BF1"/>
    <w:rsid w:val="005411CD"/>
    <w:rsid w:val="005422DE"/>
    <w:rsid w:val="00546468"/>
    <w:rsid w:val="005606F8"/>
    <w:rsid w:val="00565DBB"/>
    <w:rsid w:val="0056618D"/>
    <w:rsid w:val="005662FA"/>
    <w:rsid w:val="0057650F"/>
    <w:rsid w:val="0059177A"/>
    <w:rsid w:val="005942D2"/>
    <w:rsid w:val="00596FC6"/>
    <w:rsid w:val="005A0B7B"/>
    <w:rsid w:val="005A164D"/>
    <w:rsid w:val="005A1B22"/>
    <w:rsid w:val="005A4F90"/>
    <w:rsid w:val="005A5456"/>
    <w:rsid w:val="005B1D64"/>
    <w:rsid w:val="005B7A9E"/>
    <w:rsid w:val="005D1939"/>
    <w:rsid w:val="005D27BF"/>
    <w:rsid w:val="005D2DEE"/>
    <w:rsid w:val="005D5AFE"/>
    <w:rsid w:val="005E2246"/>
    <w:rsid w:val="005E2E7D"/>
    <w:rsid w:val="005E7912"/>
    <w:rsid w:val="005F00C9"/>
    <w:rsid w:val="005F0294"/>
    <w:rsid w:val="005F56B5"/>
    <w:rsid w:val="006027A6"/>
    <w:rsid w:val="00614722"/>
    <w:rsid w:val="006170CB"/>
    <w:rsid w:val="006235AF"/>
    <w:rsid w:val="00626715"/>
    <w:rsid w:val="00626E1E"/>
    <w:rsid w:val="00630761"/>
    <w:rsid w:val="00634341"/>
    <w:rsid w:val="00641E77"/>
    <w:rsid w:val="00645249"/>
    <w:rsid w:val="006533F4"/>
    <w:rsid w:val="00654B52"/>
    <w:rsid w:val="00656320"/>
    <w:rsid w:val="00660155"/>
    <w:rsid w:val="00667C5F"/>
    <w:rsid w:val="00684A8C"/>
    <w:rsid w:val="006A3085"/>
    <w:rsid w:val="006A3D24"/>
    <w:rsid w:val="006A5BF2"/>
    <w:rsid w:val="006B0B5F"/>
    <w:rsid w:val="006B0BFA"/>
    <w:rsid w:val="006B1090"/>
    <w:rsid w:val="006B60D9"/>
    <w:rsid w:val="006B7DFC"/>
    <w:rsid w:val="006B7F10"/>
    <w:rsid w:val="006C0F2C"/>
    <w:rsid w:val="006C1607"/>
    <w:rsid w:val="006C32AF"/>
    <w:rsid w:val="006C4058"/>
    <w:rsid w:val="006D03DE"/>
    <w:rsid w:val="006D0626"/>
    <w:rsid w:val="006D4820"/>
    <w:rsid w:val="006D5099"/>
    <w:rsid w:val="006D5BF3"/>
    <w:rsid w:val="006D601E"/>
    <w:rsid w:val="006E4D82"/>
    <w:rsid w:val="006F1A78"/>
    <w:rsid w:val="006F21D8"/>
    <w:rsid w:val="006F4FFA"/>
    <w:rsid w:val="00701202"/>
    <w:rsid w:val="0070197B"/>
    <w:rsid w:val="00704731"/>
    <w:rsid w:val="007077B2"/>
    <w:rsid w:val="00721160"/>
    <w:rsid w:val="00724114"/>
    <w:rsid w:val="0072792F"/>
    <w:rsid w:val="00730520"/>
    <w:rsid w:val="00731B5C"/>
    <w:rsid w:val="00750AD2"/>
    <w:rsid w:val="00770CEB"/>
    <w:rsid w:val="00772322"/>
    <w:rsid w:val="00780B84"/>
    <w:rsid w:val="0079141E"/>
    <w:rsid w:val="0079325B"/>
    <w:rsid w:val="007956CA"/>
    <w:rsid w:val="00796B67"/>
    <w:rsid w:val="007A506F"/>
    <w:rsid w:val="007A64B9"/>
    <w:rsid w:val="007B05AD"/>
    <w:rsid w:val="007B1444"/>
    <w:rsid w:val="007B25C1"/>
    <w:rsid w:val="007B396E"/>
    <w:rsid w:val="007B462E"/>
    <w:rsid w:val="007B4693"/>
    <w:rsid w:val="007B6962"/>
    <w:rsid w:val="007C08D0"/>
    <w:rsid w:val="007C0E0A"/>
    <w:rsid w:val="007C4B78"/>
    <w:rsid w:val="007C59DC"/>
    <w:rsid w:val="007D0E9C"/>
    <w:rsid w:val="007D3C82"/>
    <w:rsid w:val="007D3D6C"/>
    <w:rsid w:val="007E0F5D"/>
    <w:rsid w:val="007E5486"/>
    <w:rsid w:val="007E60C9"/>
    <w:rsid w:val="007E6CD3"/>
    <w:rsid w:val="00801349"/>
    <w:rsid w:val="00802BCE"/>
    <w:rsid w:val="008102E8"/>
    <w:rsid w:val="00817D54"/>
    <w:rsid w:val="00840127"/>
    <w:rsid w:val="00841C5A"/>
    <w:rsid w:val="00856BF5"/>
    <w:rsid w:val="008621D5"/>
    <w:rsid w:val="0086350E"/>
    <w:rsid w:val="00880607"/>
    <w:rsid w:val="008819F9"/>
    <w:rsid w:val="00883B35"/>
    <w:rsid w:val="0088524C"/>
    <w:rsid w:val="008857B9"/>
    <w:rsid w:val="00891371"/>
    <w:rsid w:val="00891BEB"/>
    <w:rsid w:val="00892D10"/>
    <w:rsid w:val="008A2EB0"/>
    <w:rsid w:val="008A57D9"/>
    <w:rsid w:val="008B2608"/>
    <w:rsid w:val="008C3F9E"/>
    <w:rsid w:val="008C5162"/>
    <w:rsid w:val="008D07B2"/>
    <w:rsid w:val="008D62E2"/>
    <w:rsid w:val="008E06F8"/>
    <w:rsid w:val="008E4295"/>
    <w:rsid w:val="008E5BD3"/>
    <w:rsid w:val="008F0093"/>
    <w:rsid w:val="008F531C"/>
    <w:rsid w:val="008F71D5"/>
    <w:rsid w:val="00901F4B"/>
    <w:rsid w:val="00910965"/>
    <w:rsid w:val="009112FB"/>
    <w:rsid w:val="0091155C"/>
    <w:rsid w:val="009116CA"/>
    <w:rsid w:val="00913516"/>
    <w:rsid w:val="00915514"/>
    <w:rsid w:val="0091679D"/>
    <w:rsid w:val="0092138E"/>
    <w:rsid w:val="00925EF3"/>
    <w:rsid w:val="00926D40"/>
    <w:rsid w:val="0093124D"/>
    <w:rsid w:val="0093372E"/>
    <w:rsid w:val="00934216"/>
    <w:rsid w:val="009363CC"/>
    <w:rsid w:val="00936C53"/>
    <w:rsid w:val="009416CC"/>
    <w:rsid w:val="00943DB4"/>
    <w:rsid w:val="009464E9"/>
    <w:rsid w:val="009465C7"/>
    <w:rsid w:val="0094675C"/>
    <w:rsid w:val="009556BD"/>
    <w:rsid w:val="00957DF6"/>
    <w:rsid w:val="0096093C"/>
    <w:rsid w:val="009656D9"/>
    <w:rsid w:val="00967616"/>
    <w:rsid w:val="009712A8"/>
    <w:rsid w:val="00971372"/>
    <w:rsid w:val="00976DE7"/>
    <w:rsid w:val="00990808"/>
    <w:rsid w:val="009963D6"/>
    <w:rsid w:val="009A321B"/>
    <w:rsid w:val="009A583E"/>
    <w:rsid w:val="009A776E"/>
    <w:rsid w:val="009B2480"/>
    <w:rsid w:val="009B2641"/>
    <w:rsid w:val="009B4446"/>
    <w:rsid w:val="009B54A4"/>
    <w:rsid w:val="009B5A05"/>
    <w:rsid w:val="009B5C4F"/>
    <w:rsid w:val="009B75EE"/>
    <w:rsid w:val="009C58F4"/>
    <w:rsid w:val="009C694C"/>
    <w:rsid w:val="009E24C5"/>
    <w:rsid w:val="009E553D"/>
    <w:rsid w:val="009F4741"/>
    <w:rsid w:val="009F7560"/>
    <w:rsid w:val="00A04432"/>
    <w:rsid w:val="00A07253"/>
    <w:rsid w:val="00A131DF"/>
    <w:rsid w:val="00A14487"/>
    <w:rsid w:val="00A30B91"/>
    <w:rsid w:val="00A326E9"/>
    <w:rsid w:val="00A35B4C"/>
    <w:rsid w:val="00A37ECC"/>
    <w:rsid w:val="00A400F1"/>
    <w:rsid w:val="00A42864"/>
    <w:rsid w:val="00A545B0"/>
    <w:rsid w:val="00A62173"/>
    <w:rsid w:val="00A65A1A"/>
    <w:rsid w:val="00A71EB4"/>
    <w:rsid w:val="00A74349"/>
    <w:rsid w:val="00A75AD7"/>
    <w:rsid w:val="00A81702"/>
    <w:rsid w:val="00A81A78"/>
    <w:rsid w:val="00A84B7A"/>
    <w:rsid w:val="00A90184"/>
    <w:rsid w:val="00A94A2F"/>
    <w:rsid w:val="00A97927"/>
    <w:rsid w:val="00A97BDD"/>
    <w:rsid w:val="00AA3F97"/>
    <w:rsid w:val="00AA4D5F"/>
    <w:rsid w:val="00AA598B"/>
    <w:rsid w:val="00AA6AF9"/>
    <w:rsid w:val="00AB393E"/>
    <w:rsid w:val="00AB6316"/>
    <w:rsid w:val="00AC453C"/>
    <w:rsid w:val="00AC5E18"/>
    <w:rsid w:val="00AC6080"/>
    <w:rsid w:val="00AD5373"/>
    <w:rsid w:val="00AD6530"/>
    <w:rsid w:val="00AD78EE"/>
    <w:rsid w:val="00AF034A"/>
    <w:rsid w:val="00AF0876"/>
    <w:rsid w:val="00AF0FA0"/>
    <w:rsid w:val="00AF3841"/>
    <w:rsid w:val="00B06C29"/>
    <w:rsid w:val="00B13592"/>
    <w:rsid w:val="00B14C72"/>
    <w:rsid w:val="00B15CF0"/>
    <w:rsid w:val="00B20F7E"/>
    <w:rsid w:val="00B24E7C"/>
    <w:rsid w:val="00B2790C"/>
    <w:rsid w:val="00B307B9"/>
    <w:rsid w:val="00B36852"/>
    <w:rsid w:val="00B375B9"/>
    <w:rsid w:val="00B473BC"/>
    <w:rsid w:val="00B564F8"/>
    <w:rsid w:val="00B57F24"/>
    <w:rsid w:val="00B61E22"/>
    <w:rsid w:val="00B65970"/>
    <w:rsid w:val="00B709CE"/>
    <w:rsid w:val="00B72100"/>
    <w:rsid w:val="00B72D34"/>
    <w:rsid w:val="00B7355C"/>
    <w:rsid w:val="00B74909"/>
    <w:rsid w:val="00B75493"/>
    <w:rsid w:val="00B83C67"/>
    <w:rsid w:val="00B955FC"/>
    <w:rsid w:val="00BA04D7"/>
    <w:rsid w:val="00BA6B98"/>
    <w:rsid w:val="00BA750C"/>
    <w:rsid w:val="00BB1B6C"/>
    <w:rsid w:val="00BB1F90"/>
    <w:rsid w:val="00BB23CC"/>
    <w:rsid w:val="00BC1129"/>
    <w:rsid w:val="00BC3197"/>
    <w:rsid w:val="00BC42B2"/>
    <w:rsid w:val="00BC7671"/>
    <w:rsid w:val="00BD5BB3"/>
    <w:rsid w:val="00BE016B"/>
    <w:rsid w:val="00BF5243"/>
    <w:rsid w:val="00C0062A"/>
    <w:rsid w:val="00C044C5"/>
    <w:rsid w:val="00C078C6"/>
    <w:rsid w:val="00C11389"/>
    <w:rsid w:val="00C120D3"/>
    <w:rsid w:val="00C12732"/>
    <w:rsid w:val="00C1634F"/>
    <w:rsid w:val="00C17850"/>
    <w:rsid w:val="00C273D7"/>
    <w:rsid w:val="00C3038A"/>
    <w:rsid w:val="00C4733C"/>
    <w:rsid w:val="00C47FDB"/>
    <w:rsid w:val="00C530D3"/>
    <w:rsid w:val="00C66D99"/>
    <w:rsid w:val="00C71F35"/>
    <w:rsid w:val="00C7687B"/>
    <w:rsid w:val="00C82D83"/>
    <w:rsid w:val="00C859A0"/>
    <w:rsid w:val="00C87184"/>
    <w:rsid w:val="00C87F9E"/>
    <w:rsid w:val="00C90812"/>
    <w:rsid w:val="00CA2834"/>
    <w:rsid w:val="00CB4CBD"/>
    <w:rsid w:val="00CB79D7"/>
    <w:rsid w:val="00CC1BA8"/>
    <w:rsid w:val="00CC7169"/>
    <w:rsid w:val="00CC7B71"/>
    <w:rsid w:val="00CD3286"/>
    <w:rsid w:val="00CD3D34"/>
    <w:rsid w:val="00CF0F5B"/>
    <w:rsid w:val="00CF2414"/>
    <w:rsid w:val="00CF7597"/>
    <w:rsid w:val="00D063F9"/>
    <w:rsid w:val="00D12FE6"/>
    <w:rsid w:val="00D1494E"/>
    <w:rsid w:val="00D24476"/>
    <w:rsid w:val="00D248A7"/>
    <w:rsid w:val="00D3057C"/>
    <w:rsid w:val="00D32AAB"/>
    <w:rsid w:val="00D33EE2"/>
    <w:rsid w:val="00D35770"/>
    <w:rsid w:val="00D3601F"/>
    <w:rsid w:val="00D41C91"/>
    <w:rsid w:val="00D42CD8"/>
    <w:rsid w:val="00D46A61"/>
    <w:rsid w:val="00D474CD"/>
    <w:rsid w:val="00D53962"/>
    <w:rsid w:val="00D53F9B"/>
    <w:rsid w:val="00D57F3D"/>
    <w:rsid w:val="00D607BC"/>
    <w:rsid w:val="00D657C0"/>
    <w:rsid w:val="00D70592"/>
    <w:rsid w:val="00D73861"/>
    <w:rsid w:val="00D9048D"/>
    <w:rsid w:val="00D9152F"/>
    <w:rsid w:val="00D9780B"/>
    <w:rsid w:val="00DA0EDB"/>
    <w:rsid w:val="00DA46A2"/>
    <w:rsid w:val="00DA769D"/>
    <w:rsid w:val="00DA7D13"/>
    <w:rsid w:val="00DB1885"/>
    <w:rsid w:val="00DB7B19"/>
    <w:rsid w:val="00DC1F36"/>
    <w:rsid w:val="00DC306B"/>
    <w:rsid w:val="00DE4A0C"/>
    <w:rsid w:val="00DE507F"/>
    <w:rsid w:val="00DE655D"/>
    <w:rsid w:val="00DE6D04"/>
    <w:rsid w:val="00DF7216"/>
    <w:rsid w:val="00E005B9"/>
    <w:rsid w:val="00E03B6F"/>
    <w:rsid w:val="00E21A71"/>
    <w:rsid w:val="00E243A4"/>
    <w:rsid w:val="00E30155"/>
    <w:rsid w:val="00E34C76"/>
    <w:rsid w:val="00E3711F"/>
    <w:rsid w:val="00E37FF4"/>
    <w:rsid w:val="00E41BCF"/>
    <w:rsid w:val="00E42E3E"/>
    <w:rsid w:val="00E43F42"/>
    <w:rsid w:val="00E5138D"/>
    <w:rsid w:val="00E54E8C"/>
    <w:rsid w:val="00E56C77"/>
    <w:rsid w:val="00E62BE2"/>
    <w:rsid w:val="00E62EAD"/>
    <w:rsid w:val="00E737C1"/>
    <w:rsid w:val="00E74C07"/>
    <w:rsid w:val="00E81547"/>
    <w:rsid w:val="00E87BA3"/>
    <w:rsid w:val="00E949D0"/>
    <w:rsid w:val="00EA70B3"/>
    <w:rsid w:val="00EA790C"/>
    <w:rsid w:val="00EB1501"/>
    <w:rsid w:val="00EB2778"/>
    <w:rsid w:val="00EB3D0E"/>
    <w:rsid w:val="00EB480D"/>
    <w:rsid w:val="00ED2568"/>
    <w:rsid w:val="00ED476B"/>
    <w:rsid w:val="00ED6C88"/>
    <w:rsid w:val="00EF4395"/>
    <w:rsid w:val="00F012AC"/>
    <w:rsid w:val="00F02CDE"/>
    <w:rsid w:val="00F07649"/>
    <w:rsid w:val="00F076C2"/>
    <w:rsid w:val="00F07B2C"/>
    <w:rsid w:val="00F204A7"/>
    <w:rsid w:val="00F23305"/>
    <w:rsid w:val="00F250CD"/>
    <w:rsid w:val="00F25448"/>
    <w:rsid w:val="00F27E98"/>
    <w:rsid w:val="00F326EB"/>
    <w:rsid w:val="00F36A0B"/>
    <w:rsid w:val="00F43151"/>
    <w:rsid w:val="00F43B06"/>
    <w:rsid w:val="00F45477"/>
    <w:rsid w:val="00F5682D"/>
    <w:rsid w:val="00F5694A"/>
    <w:rsid w:val="00F56986"/>
    <w:rsid w:val="00F63097"/>
    <w:rsid w:val="00F64E6D"/>
    <w:rsid w:val="00F65005"/>
    <w:rsid w:val="00F73331"/>
    <w:rsid w:val="00F75974"/>
    <w:rsid w:val="00F81E50"/>
    <w:rsid w:val="00F94897"/>
    <w:rsid w:val="00F9763E"/>
    <w:rsid w:val="00FA076E"/>
    <w:rsid w:val="00FA1104"/>
    <w:rsid w:val="00FA5039"/>
    <w:rsid w:val="00FB213D"/>
    <w:rsid w:val="00FC0BCD"/>
    <w:rsid w:val="00FC2C18"/>
    <w:rsid w:val="00FD1EE2"/>
    <w:rsid w:val="00FD5932"/>
    <w:rsid w:val="00FD6AE1"/>
    <w:rsid w:val="00FD6B92"/>
    <w:rsid w:val="00FE3637"/>
    <w:rsid w:val="00FE3AAA"/>
    <w:rsid w:val="00FE44E7"/>
    <w:rsid w:val="00FE75D4"/>
    <w:rsid w:val="00FE7EF5"/>
    <w:rsid w:val="00FF0FEE"/>
    <w:rsid w:val="00FF6D89"/>
    <w:rsid w:val="00FF7D9E"/>
  </w:rsids>
  <m:mathPr>
    <m:mathFont m:val="Cambria Math"/>
    <m:brkBin m:val="before"/>
    <m:brkBinSub m:val="--"/>
    <m:smallFrac/>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DD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7B2C"/>
    <w:rPr>
      <w:lang w:val="en-GB"/>
    </w:rPr>
  </w:style>
  <w:style w:type="paragraph" w:styleId="Heading1">
    <w:name w:val="heading 1"/>
    <w:basedOn w:val="Normal"/>
    <w:next w:val="Normal"/>
    <w:link w:val="Heading1Char"/>
    <w:uiPriority w:val="9"/>
    <w:qFormat/>
    <w:rsid w:val="000323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0F5B"/>
    <w:pPr>
      <w:keepNext/>
      <w:keepLines/>
      <w:spacing w:before="200"/>
      <w:outlineLvl w:val="1"/>
    </w:pPr>
    <w:rPr>
      <w:rFonts w:asciiTheme="minorHAnsi" w:eastAsiaTheme="majorEastAsia" w:hAnsiTheme="minorHAnsi" w:cstheme="majorBidi"/>
      <w:b/>
      <w:bCs/>
      <w:sz w:val="26"/>
      <w:szCs w:val="26"/>
    </w:rPr>
  </w:style>
  <w:style w:type="paragraph" w:styleId="Heading3">
    <w:name w:val="heading 3"/>
    <w:basedOn w:val="Normal"/>
    <w:next w:val="Normal"/>
    <w:link w:val="Heading3Char"/>
    <w:uiPriority w:val="9"/>
    <w:unhideWhenUsed/>
    <w:qFormat/>
    <w:rsid w:val="00F976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675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47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D476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5694A"/>
    <w:rPr>
      <w:rFonts w:ascii="Tahoma" w:hAnsi="Tahoma" w:cs="Tahoma"/>
      <w:sz w:val="16"/>
      <w:szCs w:val="16"/>
    </w:rPr>
  </w:style>
  <w:style w:type="character" w:customStyle="1" w:styleId="BalloonTextChar">
    <w:name w:val="Balloon Text Char"/>
    <w:basedOn w:val="DefaultParagraphFont"/>
    <w:uiPriority w:val="99"/>
    <w:semiHidden/>
    <w:rsid w:val="00CF12D1"/>
    <w:rPr>
      <w:rFonts w:ascii="Lucida Grande" w:hAnsi="Lucida Grande" w:cs="Lucida Grande"/>
      <w:sz w:val="18"/>
      <w:szCs w:val="18"/>
    </w:rPr>
  </w:style>
  <w:style w:type="paragraph" w:styleId="TOC1">
    <w:name w:val="toc 1"/>
    <w:basedOn w:val="Normal"/>
    <w:next w:val="Normal"/>
    <w:autoRedefine/>
    <w:uiPriority w:val="39"/>
    <w:unhideWhenUsed/>
    <w:rsid w:val="00F07B2C"/>
    <w:pPr>
      <w:spacing w:before="240" w:after="120"/>
    </w:pPr>
    <w:rPr>
      <w:b/>
      <w:caps/>
      <w:sz w:val="22"/>
      <w:szCs w:val="22"/>
      <w:u w:val="single"/>
    </w:rPr>
  </w:style>
  <w:style w:type="paragraph" w:styleId="TOC2">
    <w:name w:val="toc 2"/>
    <w:basedOn w:val="Normal"/>
    <w:next w:val="Normal"/>
    <w:autoRedefine/>
    <w:uiPriority w:val="39"/>
    <w:unhideWhenUsed/>
    <w:rsid w:val="006B7F10"/>
    <w:pPr>
      <w:tabs>
        <w:tab w:val="right" w:leader="dot" w:pos="8630"/>
      </w:tabs>
      <w:jc w:val="center"/>
    </w:pPr>
    <w:rPr>
      <w:b/>
      <w:smallCaps/>
      <w:sz w:val="22"/>
      <w:szCs w:val="22"/>
    </w:rPr>
  </w:style>
  <w:style w:type="paragraph" w:styleId="TOC3">
    <w:name w:val="toc 3"/>
    <w:basedOn w:val="Normal"/>
    <w:next w:val="Normal"/>
    <w:autoRedefine/>
    <w:uiPriority w:val="39"/>
    <w:unhideWhenUsed/>
    <w:rsid w:val="00F07B2C"/>
    <w:rPr>
      <w:smallCaps/>
      <w:sz w:val="22"/>
      <w:szCs w:val="22"/>
    </w:rPr>
  </w:style>
  <w:style w:type="paragraph" w:styleId="TOC4">
    <w:name w:val="toc 4"/>
    <w:basedOn w:val="Normal"/>
    <w:next w:val="Normal"/>
    <w:autoRedefine/>
    <w:uiPriority w:val="39"/>
    <w:unhideWhenUsed/>
    <w:rsid w:val="00F07B2C"/>
    <w:rPr>
      <w:sz w:val="22"/>
      <w:szCs w:val="22"/>
    </w:rPr>
  </w:style>
  <w:style w:type="paragraph" w:styleId="TOC5">
    <w:name w:val="toc 5"/>
    <w:basedOn w:val="Normal"/>
    <w:next w:val="Normal"/>
    <w:autoRedefine/>
    <w:uiPriority w:val="39"/>
    <w:unhideWhenUsed/>
    <w:rsid w:val="00F07B2C"/>
    <w:rPr>
      <w:sz w:val="22"/>
      <w:szCs w:val="22"/>
    </w:rPr>
  </w:style>
  <w:style w:type="paragraph" w:styleId="TOC6">
    <w:name w:val="toc 6"/>
    <w:basedOn w:val="Normal"/>
    <w:next w:val="Normal"/>
    <w:autoRedefine/>
    <w:uiPriority w:val="39"/>
    <w:unhideWhenUsed/>
    <w:rsid w:val="00F07B2C"/>
    <w:rPr>
      <w:sz w:val="22"/>
      <w:szCs w:val="22"/>
    </w:rPr>
  </w:style>
  <w:style w:type="paragraph" w:styleId="TOC7">
    <w:name w:val="toc 7"/>
    <w:basedOn w:val="Normal"/>
    <w:next w:val="Normal"/>
    <w:autoRedefine/>
    <w:uiPriority w:val="39"/>
    <w:unhideWhenUsed/>
    <w:rsid w:val="00F07B2C"/>
    <w:rPr>
      <w:sz w:val="22"/>
      <w:szCs w:val="22"/>
    </w:rPr>
  </w:style>
  <w:style w:type="paragraph" w:styleId="TOC8">
    <w:name w:val="toc 8"/>
    <w:basedOn w:val="Normal"/>
    <w:next w:val="Normal"/>
    <w:autoRedefine/>
    <w:uiPriority w:val="39"/>
    <w:unhideWhenUsed/>
    <w:rsid w:val="00F07B2C"/>
    <w:rPr>
      <w:sz w:val="22"/>
      <w:szCs w:val="22"/>
    </w:rPr>
  </w:style>
  <w:style w:type="paragraph" w:styleId="TOC9">
    <w:name w:val="toc 9"/>
    <w:basedOn w:val="Normal"/>
    <w:next w:val="Normal"/>
    <w:autoRedefine/>
    <w:uiPriority w:val="39"/>
    <w:unhideWhenUsed/>
    <w:rsid w:val="00F07B2C"/>
    <w:rPr>
      <w:sz w:val="22"/>
      <w:szCs w:val="22"/>
    </w:rPr>
  </w:style>
  <w:style w:type="paragraph" w:styleId="Title">
    <w:name w:val="Title"/>
    <w:basedOn w:val="Normal"/>
    <w:next w:val="Normal"/>
    <w:link w:val="TitleChar"/>
    <w:uiPriority w:val="10"/>
    <w:qFormat/>
    <w:rsid w:val="00F07B2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F07B2C"/>
    <w:rPr>
      <w:rFonts w:ascii="Calibri" w:eastAsia="MS Gothic" w:hAnsi="Calibri" w:cs="Times New Roman"/>
      <w:color w:val="17365D"/>
      <w:spacing w:val="5"/>
      <w:kern w:val="28"/>
      <w:sz w:val="52"/>
      <w:szCs w:val="52"/>
      <w:lang w:val="en-GB"/>
    </w:rPr>
  </w:style>
  <w:style w:type="paragraph" w:customStyle="1" w:styleId="ColorfulList-Accent11">
    <w:name w:val="Colorful List - Accent 11"/>
    <w:basedOn w:val="Normal"/>
    <w:uiPriority w:val="34"/>
    <w:qFormat/>
    <w:rsid w:val="00F07B2C"/>
    <w:pPr>
      <w:ind w:left="720"/>
      <w:contextualSpacing/>
    </w:pPr>
  </w:style>
  <w:style w:type="character" w:customStyle="1" w:styleId="Heading1Char">
    <w:name w:val="Heading 1 Char"/>
    <w:basedOn w:val="DefaultParagraphFont"/>
    <w:link w:val="Heading1"/>
    <w:uiPriority w:val="9"/>
    <w:rsid w:val="000323CE"/>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CF0F5B"/>
    <w:rPr>
      <w:rFonts w:asciiTheme="minorHAnsi" w:eastAsiaTheme="majorEastAsia" w:hAnsiTheme="minorHAnsi" w:cstheme="majorBidi"/>
      <w:b/>
      <w:bCs/>
      <w:sz w:val="26"/>
      <w:szCs w:val="26"/>
      <w:lang w:val="en-GB"/>
    </w:rPr>
  </w:style>
  <w:style w:type="paragraph" w:styleId="BodyTextIndent">
    <w:name w:val="Body Text Indent"/>
    <w:basedOn w:val="Normal"/>
    <w:link w:val="BodyTextIndentChar"/>
    <w:rsid w:val="0024154D"/>
    <w:pPr>
      <w:ind w:left="-360"/>
      <w:jc w:val="both"/>
    </w:pPr>
    <w:rPr>
      <w:rFonts w:ascii="Times New Roman" w:eastAsia="Times New Roman" w:hAnsi="Times New Roman"/>
      <w:noProof/>
      <w:sz w:val="22"/>
      <w:lang w:val="en-US"/>
    </w:rPr>
  </w:style>
  <w:style w:type="character" w:customStyle="1" w:styleId="BodyTextIndentChar">
    <w:name w:val="Body Text Indent Char"/>
    <w:basedOn w:val="DefaultParagraphFont"/>
    <w:link w:val="BodyTextIndent"/>
    <w:rsid w:val="0024154D"/>
    <w:rPr>
      <w:rFonts w:ascii="Times New Roman" w:eastAsia="Times New Roman" w:hAnsi="Times New Roman"/>
      <w:noProof/>
      <w:sz w:val="22"/>
      <w:szCs w:val="24"/>
    </w:rPr>
  </w:style>
  <w:style w:type="paragraph" w:styleId="FootnoteText">
    <w:name w:val="footnote text"/>
    <w:basedOn w:val="Normal"/>
    <w:link w:val="FootnoteTextChar"/>
    <w:uiPriority w:val="99"/>
    <w:unhideWhenUsed/>
    <w:rsid w:val="00F36A0B"/>
    <w:rPr>
      <w:rFonts w:asciiTheme="minorHAnsi" w:hAnsiTheme="minorHAnsi"/>
      <w:sz w:val="20"/>
      <w:szCs w:val="20"/>
      <w:lang w:eastAsia="fr-FR"/>
    </w:rPr>
  </w:style>
  <w:style w:type="character" w:customStyle="1" w:styleId="FootnoteTextChar">
    <w:name w:val="Footnote Text Char"/>
    <w:basedOn w:val="DefaultParagraphFont"/>
    <w:link w:val="FootnoteText"/>
    <w:uiPriority w:val="99"/>
    <w:rsid w:val="00F36A0B"/>
    <w:rPr>
      <w:rFonts w:asciiTheme="minorHAnsi" w:hAnsiTheme="minorHAnsi"/>
      <w:sz w:val="20"/>
      <w:szCs w:val="20"/>
      <w:lang w:val="en-GB" w:eastAsia="fr-FR"/>
    </w:rPr>
  </w:style>
  <w:style w:type="character" w:styleId="FootnoteReference">
    <w:name w:val="footnote reference"/>
    <w:uiPriority w:val="99"/>
    <w:unhideWhenUsed/>
    <w:qFormat/>
    <w:rsid w:val="00F5694A"/>
    <w:rPr>
      <w:vertAlign w:val="superscript"/>
    </w:rPr>
  </w:style>
  <w:style w:type="paragraph" w:customStyle="1" w:styleId="task">
    <w:name w:val="task"/>
    <w:basedOn w:val="Normal"/>
    <w:link w:val="taskChar"/>
    <w:qFormat/>
    <w:rsid w:val="00F5694A"/>
    <w:pPr>
      <w:tabs>
        <w:tab w:val="left" w:pos="680"/>
      </w:tabs>
      <w:ind w:left="680" w:hanging="680"/>
    </w:pPr>
    <w:rPr>
      <w:rFonts w:ascii="Arial" w:eastAsia="Calibri" w:hAnsi="Arial"/>
    </w:rPr>
  </w:style>
  <w:style w:type="character" w:customStyle="1" w:styleId="taskChar">
    <w:name w:val="task Char"/>
    <w:link w:val="task"/>
    <w:rsid w:val="00F5694A"/>
    <w:rPr>
      <w:rFonts w:ascii="Arial" w:eastAsia="Calibri" w:hAnsi="Arial"/>
      <w:sz w:val="24"/>
      <w:szCs w:val="24"/>
      <w:lang w:val="en-GB"/>
    </w:rPr>
  </w:style>
  <w:style w:type="character" w:styleId="CommentReference">
    <w:name w:val="annotation reference"/>
    <w:uiPriority w:val="99"/>
    <w:semiHidden/>
    <w:unhideWhenUsed/>
    <w:rsid w:val="00F5694A"/>
    <w:rPr>
      <w:sz w:val="16"/>
      <w:szCs w:val="16"/>
    </w:rPr>
  </w:style>
  <w:style w:type="paragraph" w:styleId="CommentText">
    <w:name w:val="annotation text"/>
    <w:basedOn w:val="Normal"/>
    <w:link w:val="CommentTextChar"/>
    <w:uiPriority w:val="99"/>
    <w:unhideWhenUsed/>
    <w:rsid w:val="00F5694A"/>
    <w:pPr>
      <w:spacing w:after="200"/>
    </w:pPr>
    <w:rPr>
      <w:rFonts w:ascii="Calibri" w:hAnsi="Calibri"/>
      <w:sz w:val="20"/>
      <w:szCs w:val="20"/>
      <w:lang w:val="fr-FR" w:eastAsia="fr-FR"/>
    </w:rPr>
  </w:style>
  <w:style w:type="character" w:customStyle="1" w:styleId="CommentTextChar">
    <w:name w:val="Comment Text Char"/>
    <w:basedOn w:val="DefaultParagraphFont"/>
    <w:link w:val="CommentText"/>
    <w:uiPriority w:val="99"/>
    <w:rsid w:val="00F5694A"/>
    <w:rPr>
      <w:rFonts w:ascii="Calibri" w:hAnsi="Calibri"/>
      <w:lang w:val="fr-FR" w:eastAsia="fr-FR"/>
    </w:rPr>
  </w:style>
  <w:style w:type="character" w:customStyle="1" w:styleId="BalloonTextChar1">
    <w:name w:val="Balloon Text Char1"/>
    <w:basedOn w:val="DefaultParagraphFont"/>
    <w:link w:val="BalloonText"/>
    <w:uiPriority w:val="99"/>
    <w:semiHidden/>
    <w:rsid w:val="00F5694A"/>
    <w:rPr>
      <w:rFonts w:ascii="Tahoma" w:hAnsi="Tahoma" w:cs="Tahoma"/>
      <w:sz w:val="16"/>
      <w:szCs w:val="16"/>
      <w:lang w:val="en-GB"/>
    </w:rPr>
  </w:style>
  <w:style w:type="paragraph" w:styleId="ListParagraph">
    <w:name w:val="List Paragraph"/>
    <w:basedOn w:val="Normal"/>
    <w:uiPriority w:val="72"/>
    <w:qFormat/>
    <w:rsid w:val="00D063F9"/>
    <w:pPr>
      <w:ind w:left="720"/>
      <w:contextualSpacing/>
    </w:pPr>
  </w:style>
  <w:style w:type="character" w:styleId="Hyperlink">
    <w:name w:val="Hyperlink"/>
    <w:uiPriority w:val="99"/>
    <w:unhideWhenUsed/>
    <w:rsid w:val="00161059"/>
    <w:rPr>
      <w:color w:val="0000FF"/>
      <w:u w:val="single"/>
    </w:rPr>
  </w:style>
  <w:style w:type="character" w:customStyle="1" w:styleId="Heading3Char">
    <w:name w:val="Heading 3 Char"/>
    <w:basedOn w:val="DefaultParagraphFont"/>
    <w:link w:val="Heading3"/>
    <w:uiPriority w:val="9"/>
    <w:rsid w:val="00F9763E"/>
    <w:rPr>
      <w:rFonts w:asciiTheme="majorHAnsi" w:eastAsiaTheme="majorEastAsia" w:hAnsiTheme="majorHAnsi" w:cstheme="majorBidi"/>
      <w:b/>
      <w:bCs/>
      <w:color w:val="4F81BD" w:themeColor="accent1"/>
      <w:sz w:val="24"/>
      <w:szCs w:val="24"/>
      <w:lang w:val="en-GB"/>
    </w:rPr>
  </w:style>
  <w:style w:type="paragraph" w:styleId="IntenseQuote">
    <w:name w:val="Intense Quote"/>
    <w:basedOn w:val="Normal"/>
    <w:next w:val="Normal"/>
    <w:link w:val="IntenseQuoteChar"/>
    <w:uiPriority w:val="60"/>
    <w:qFormat/>
    <w:rsid w:val="0046754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46754F"/>
    <w:rPr>
      <w:b/>
      <w:bCs/>
      <w:i/>
      <w:iCs/>
      <w:color w:val="4F81BD" w:themeColor="accent1"/>
      <w:sz w:val="24"/>
      <w:szCs w:val="24"/>
      <w:lang w:val="en-GB"/>
    </w:rPr>
  </w:style>
  <w:style w:type="character" w:customStyle="1" w:styleId="Heading4Char">
    <w:name w:val="Heading 4 Char"/>
    <w:basedOn w:val="DefaultParagraphFont"/>
    <w:link w:val="Heading4"/>
    <w:uiPriority w:val="9"/>
    <w:rsid w:val="0046754F"/>
    <w:rPr>
      <w:rFonts w:asciiTheme="majorHAnsi" w:eastAsiaTheme="majorEastAsia" w:hAnsiTheme="majorHAnsi" w:cstheme="majorBidi"/>
      <w:b/>
      <w:bCs/>
      <w:i/>
      <w:iCs/>
      <w:color w:val="4F81BD" w:themeColor="accent1"/>
      <w:sz w:val="24"/>
      <w:szCs w:val="24"/>
      <w:lang w:val="en-GB"/>
    </w:rPr>
  </w:style>
  <w:style w:type="character" w:customStyle="1" w:styleId="Heading5Char">
    <w:name w:val="Heading 5 Char"/>
    <w:basedOn w:val="DefaultParagraphFont"/>
    <w:link w:val="Heading5"/>
    <w:uiPriority w:val="9"/>
    <w:rsid w:val="00ED476B"/>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ED476B"/>
    <w:rPr>
      <w:rFonts w:asciiTheme="majorHAnsi" w:eastAsiaTheme="majorEastAsia" w:hAnsiTheme="majorHAnsi" w:cstheme="majorBidi"/>
      <w:i/>
      <w:iCs/>
      <w:color w:val="243F60" w:themeColor="accent1" w:themeShade="7F"/>
      <w:sz w:val="24"/>
      <w:szCs w:val="24"/>
      <w:lang w:val="en-GB"/>
    </w:rPr>
  </w:style>
  <w:style w:type="paragraph" w:styleId="DocumentMap">
    <w:name w:val="Document Map"/>
    <w:basedOn w:val="Normal"/>
    <w:link w:val="DocumentMapChar"/>
    <w:uiPriority w:val="99"/>
    <w:semiHidden/>
    <w:unhideWhenUsed/>
    <w:rsid w:val="00654B52"/>
    <w:rPr>
      <w:rFonts w:ascii="Lucida Grande" w:hAnsi="Lucida Grande" w:cs="Lucida Grande"/>
    </w:rPr>
  </w:style>
  <w:style w:type="character" w:customStyle="1" w:styleId="DocumentMapChar">
    <w:name w:val="Document Map Char"/>
    <w:basedOn w:val="DefaultParagraphFont"/>
    <w:link w:val="DocumentMap"/>
    <w:uiPriority w:val="99"/>
    <w:semiHidden/>
    <w:rsid w:val="00654B52"/>
    <w:rPr>
      <w:rFonts w:ascii="Lucida Grande" w:hAnsi="Lucida Grande" w:cs="Lucida Grande"/>
      <w:sz w:val="24"/>
      <w:szCs w:val="24"/>
      <w:lang w:val="en-GB"/>
    </w:rPr>
  </w:style>
  <w:style w:type="paragraph" w:styleId="Subtitle">
    <w:name w:val="Subtitle"/>
    <w:basedOn w:val="Normal"/>
    <w:next w:val="Normal"/>
    <w:link w:val="SubtitleChar"/>
    <w:uiPriority w:val="11"/>
    <w:qFormat/>
    <w:rsid w:val="00E949D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949D0"/>
    <w:rPr>
      <w:rFonts w:asciiTheme="majorHAnsi" w:eastAsiaTheme="majorEastAsia" w:hAnsiTheme="majorHAnsi" w:cstheme="majorBidi"/>
      <w:i/>
      <w:iCs/>
      <w:color w:val="4F81BD" w:themeColor="accent1"/>
      <w:spacing w:val="15"/>
      <w:sz w:val="24"/>
      <w:szCs w:val="24"/>
      <w:lang w:val="en-GB"/>
    </w:rPr>
  </w:style>
  <w:style w:type="paragraph" w:styleId="CommentSubject">
    <w:name w:val="annotation subject"/>
    <w:basedOn w:val="CommentText"/>
    <w:next w:val="CommentText"/>
    <w:link w:val="CommentSubjectChar"/>
    <w:uiPriority w:val="99"/>
    <w:semiHidden/>
    <w:unhideWhenUsed/>
    <w:rsid w:val="00293E75"/>
    <w:pPr>
      <w:spacing w:after="0"/>
    </w:pPr>
    <w:rPr>
      <w:rFonts w:ascii="Cambria" w:hAnsi="Cambria"/>
      <w:b/>
      <w:bCs/>
      <w:lang w:val="en-GB" w:eastAsia="en-US"/>
    </w:rPr>
  </w:style>
  <w:style w:type="character" w:customStyle="1" w:styleId="CommentSubjectChar">
    <w:name w:val="Comment Subject Char"/>
    <w:basedOn w:val="CommentTextChar"/>
    <w:link w:val="CommentSubject"/>
    <w:uiPriority w:val="99"/>
    <w:semiHidden/>
    <w:rsid w:val="00293E75"/>
    <w:rPr>
      <w:rFonts w:ascii="Calibri" w:hAnsi="Calibri"/>
      <w:b/>
      <w:bCs/>
      <w:lang w:val="en-GB" w:eastAsia="fr-FR"/>
    </w:rPr>
  </w:style>
  <w:style w:type="paragraph" w:styleId="Header">
    <w:name w:val="header"/>
    <w:basedOn w:val="Normal"/>
    <w:link w:val="HeaderChar"/>
    <w:uiPriority w:val="99"/>
    <w:semiHidden/>
    <w:unhideWhenUsed/>
    <w:rsid w:val="00DE507F"/>
    <w:pPr>
      <w:tabs>
        <w:tab w:val="center" w:pos="4680"/>
        <w:tab w:val="right" w:pos="9360"/>
      </w:tabs>
    </w:pPr>
  </w:style>
  <w:style w:type="character" w:customStyle="1" w:styleId="HeaderChar">
    <w:name w:val="Header Char"/>
    <w:basedOn w:val="DefaultParagraphFont"/>
    <w:link w:val="Header"/>
    <w:uiPriority w:val="99"/>
    <w:semiHidden/>
    <w:rsid w:val="00DE507F"/>
    <w:rPr>
      <w:lang w:val="en-GB"/>
    </w:rPr>
  </w:style>
  <w:style w:type="paragraph" w:styleId="Footer">
    <w:name w:val="footer"/>
    <w:basedOn w:val="Normal"/>
    <w:link w:val="FooterChar"/>
    <w:uiPriority w:val="99"/>
    <w:unhideWhenUsed/>
    <w:rsid w:val="00DE507F"/>
    <w:pPr>
      <w:tabs>
        <w:tab w:val="center" w:pos="4680"/>
        <w:tab w:val="right" w:pos="9360"/>
      </w:tabs>
    </w:pPr>
  </w:style>
  <w:style w:type="character" w:customStyle="1" w:styleId="FooterChar">
    <w:name w:val="Footer Char"/>
    <w:basedOn w:val="DefaultParagraphFont"/>
    <w:link w:val="Footer"/>
    <w:uiPriority w:val="99"/>
    <w:rsid w:val="00DE507F"/>
    <w:rPr>
      <w:lang w:val="en-GB"/>
    </w:rPr>
  </w:style>
  <w:style w:type="character" w:customStyle="1" w:styleId="apple-converted-space">
    <w:name w:val="apple-converted-space"/>
    <w:basedOn w:val="DefaultParagraphFont"/>
    <w:rsid w:val="00DE507F"/>
  </w:style>
  <w:style w:type="character" w:styleId="FollowedHyperlink">
    <w:name w:val="FollowedHyperlink"/>
    <w:basedOn w:val="DefaultParagraphFont"/>
    <w:uiPriority w:val="99"/>
    <w:semiHidden/>
    <w:unhideWhenUsed/>
    <w:rsid w:val="00BC42B2"/>
    <w:rPr>
      <w:color w:val="800080" w:themeColor="followedHyperlink"/>
      <w:u w:val="single"/>
    </w:rPr>
  </w:style>
  <w:style w:type="character" w:styleId="Strong">
    <w:name w:val="Strong"/>
    <w:basedOn w:val="DefaultParagraphFont"/>
    <w:uiPriority w:val="22"/>
    <w:qFormat/>
    <w:rsid w:val="00253D8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7B2C"/>
    <w:rPr>
      <w:lang w:val="en-GB"/>
    </w:rPr>
  </w:style>
  <w:style w:type="paragraph" w:styleId="Heading1">
    <w:name w:val="heading 1"/>
    <w:basedOn w:val="Normal"/>
    <w:next w:val="Normal"/>
    <w:link w:val="Heading1Char"/>
    <w:uiPriority w:val="9"/>
    <w:qFormat/>
    <w:rsid w:val="000323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0F5B"/>
    <w:pPr>
      <w:keepNext/>
      <w:keepLines/>
      <w:spacing w:before="200"/>
      <w:outlineLvl w:val="1"/>
    </w:pPr>
    <w:rPr>
      <w:rFonts w:asciiTheme="minorHAnsi" w:eastAsiaTheme="majorEastAsia" w:hAnsiTheme="minorHAnsi" w:cstheme="majorBidi"/>
      <w:b/>
      <w:bCs/>
      <w:sz w:val="26"/>
      <w:szCs w:val="26"/>
    </w:rPr>
  </w:style>
  <w:style w:type="paragraph" w:styleId="Heading3">
    <w:name w:val="heading 3"/>
    <w:basedOn w:val="Normal"/>
    <w:next w:val="Normal"/>
    <w:link w:val="Heading3Char"/>
    <w:uiPriority w:val="9"/>
    <w:unhideWhenUsed/>
    <w:qFormat/>
    <w:rsid w:val="00F9763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675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47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D476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5694A"/>
    <w:rPr>
      <w:rFonts w:ascii="Tahoma" w:hAnsi="Tahoma" w:cs="Tahoma"/>
      <w:sz w:val="16"/>
      <w:szCs w:val="16"/>
    </w:rPr>
  </w:style>
  <w:style w:type="character" w:customStyle="1" w:styleId="BalloonTextChar">
    <w:name w:val="Balloon Text Char"/>
    <w:basedOn w:val="DefaultParagraphFont"/>
    <w:uiPriority w:val="99"/>
    <w:semiHidden/>
    <w:rsid w:val="00CF12D1"/>
    <w:rPr>
      <w:rFonts w:ascii="Lucida Grande" w:hAnsi="Lucida Grande" w:cs="Lucida Grande"/>
      <w:sz w:val="18"/>
      <w:szCs w:val="18"/>
    </w:rPr>
  </w:style>
  <w:style w:type="paragraph" w:styleId="TOC1">
    <w:name w:val="toc 1"/>
    <w:basedOn w:val="Normal"/>
    <w:next w:val="Normal"/>
    <w:autoRedefine/>
    <w:uiPriority w:val="39"/>
    <w:unhideWhenUsed/>
    <w:rsid w:val="00F07B2C"/>
    <w:pPr>
      <w:spacing w:before="240" w:after="120"/>
    </w:pPr>
    <w:rPr>
      <w:b/>
      <w:caps/>
      <w:sz w:val="22"/>
      <w:szCs w:val="22"/>
      <w:u w:val="single"/>
    </w:rPr>
  </w:style>
  <w:style w:type="paragraph" w:styleId="TOC2">
    <w:name w:val="toc 2"/>
    <w:basedOn w:val="Normal"/>
    <w:next w:val="Normal"/>
    <w:autoRedefine/>
    <w:uiPriority w:val="39"/>
    <w:unhideWhenUsed/>
    <w:rsid w:val="006B7F10"/>
    <w:pPr>
      <w:tabs>
        <w:tab w:val="right" w:leader="dot" w:pos="8630"/>
      </w:tabs>
      <w:jc w:val="center"/>
    </w:pPr>
    <w:rPr>
      <w:b/>
      <w:smallCaps/>
      <w:sz w:val="22"/>
      <w:szCs w:val="22"/>
    </w:rPr>
  </w:style>
  <w:style w:type="paragraph" w:styleId="TOC3">
    <w:name w:val="toc 3"/>
    <w:basedOn w:val="Normal"/>
    <w:next w:val="Normal"/>
    <w:autoRedefine/>
    <w:uiPriority w:val="39"/>
    <w:unhideWhenUsed/>
    <w:rsid w:val="00F07B2C"/>
    <w:rPr>
      <w:smallCaps/>
      <w:sz w:val="22"/>
      <w:szCs w:val="22"/>
    </w:rPr>
  </w:style>
  <w:style w:type="paragraph" w:styleId="TOC4">
    <w:name w:val="toc 4"/>
    <w:basedOn w:val="Normal"/>
    <w:next w:val="Normal"/>
    <w:autoRedefine/>
    <w:uiPriority w:val="39"/>
    <w:unhideWhenUsed/>
    <w:rsid w:val="00F07B2C"/>
    <w:rPr>
      <w:sz w:val="22"/>
      <w:szCs w:val="22"/>
    </w:rPr>
  </w:style>
  <w:style w:type="paragraph" w:styleId="TOC5">
    <w:name w:val="toc 5"/>
    <w:basedOn w:val="Normal"/>
    <w:next w:val="Normal"/>
    <w:autoRedefine/>
    <w:uiPriority w:val="39"/>
    <w:unhideWhenUsed/>
    <w:rsid w:val="00F07B2C"/>
    <w:rPr>
      <w:sz w:val="22"/>
      <w:szCs w:val="22"/>
    </w:rPr>
  </w:style>
  <w:style w:type="paragraph" w:styleId="TOC6">
    <w:name w:val="toc 6"/>
    <w:basedOn w:val="Normal"/>
    <w:next w:val="Normal"/>
    <w:autoRedefine/>
    <w:uiPriority w:val="39"/>
    <w:unhideWhenUsed/>
    <w:rsid w:val="00F07B2C"/>
    <w:rPr>
      <w:sz w:val="22"/>
      <w:szCs w:val="22"/>
    </w:rPr>
  </w:style>
  <w:style w:type="paragraph" w:styleId="TOC7">
    <w:name w:val="toc 7"/>
    <w:basedOn w:val="Normal"/>
    <w:next w:val="Normal"/>
    <w:autoRedefine/>
    <w:uiPriority w:val="39"/>
    <w:unhideWhenUsed/>
    <w:rsid w:val="00F07B2C"/>
    <w:rPr>
      <w:sz w:val="22"/>
      <w:szCs w:val="22"/>
    </w:rPr>
  </w:style>
  <w:style w:type="paragraph" w:styleId="TOC8">
    <w:name w:val="toc 8"/>
    <w:basedOn w:val="Normal"/>
    <w:next w:val="Normal"/>
    <w:autoRedefine/>
    <w:uiPriority w:val="39"/>
    <w:unhideWhenUsed/>
    <w:rsid w:val="00F07B2C"/>
    <w:rPr>
      <w:sz w:val="22"/>
      <w:szCs w:val="22"/>
    </w:rPr>
  </w:style>
  <w:style w:type="paragraph" w:styleId="TOC9">
    <w:name w:val="toc 9"/>
    <w:basedOn w:val="Normal"/>
    <w:next w:val="Normal"/>
    <w:autoRedefine/>
    <w:uiPriority w:val="39"/>
    <w:unhideWhenUsed/>
    <w:rsid w:val="00F07B2C"/>
    <w:rPr>
      <w:sz w:val="22"/>
      <w:szCs w:val="22"/>
    </w:rPr>
  </w:style>
  <w:style w:type="paragraph" w:styleId="Title">
    <w:name w:val="Title"/>
    <w:basedOn w:val="Normal"/>
    <w:next w:val="Normal"/>
    <w:link w:val="TitleChar"/>
    <w:uiPriority w:val="10"/>
    <w:qFormat/>
    <w:rsid w:val="00F07B2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F07B2C"/>
    <w:rPr>
      <w:rFonts w:ascii="Calibri" w:eastAsia="MS Gothic" w:hAnsi="Calibri" w:cs="Times New Roman"/>
      <w:color w:val="17365D"/>
      <w:spacing w:val="5"/>
      <w:kern w:val="28"/>
      <w:sz w:val="52"/>
      <w:szCs w:val="52"/>
      <w:lang w:val="en-GB"/>
    </w:rPr>
  </w:style>
  <w:style w:type="paragraph" w:customStyle="1" w:styleId="ColorfulList-Accent11">
    <w:name w:val="Colorful List - Accent 11"/>
    <w:basedOn w:val="Normal"/>
    <w:uiPriority w:val="34"/>
    <w:qFormat/>
    <w:rsid w:val="00F07B2C"/>
    <w:pPr>
      <w:ind w:left="720"/>
      <w:contextualSpacing/>
    </w:pPr>
  </w:style>
  <w:style w:type="character" w:customStyle="1" w:styleId="Heading1Char">
    <w:name w:val="Heading 1 Char"/>
    <w:basedOn w:val="DefaultParagraphFont"/>
    <w:link w:val="Heading1"/>
    <w:uiPriority w:val="9"/>
    <w:rsid w:val="000323CE"/>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CF0F5B"/>
    <w:rPr>
      <w:rFonts w:asciiTheme="minorHAnsi" w:eastAsiaTheme="majorEastAsia" w:hAnsiTheme="minorHAnsi" w:cstheme="majorBidi"/>
      <w:b/>
      <w:bCs/>
      <w:sz w:val="26"/>
      <w:szCs w:val="26"/>
      <w:lang w:val="en-GB"/>
    </w:rPr>
  </w:style>
  <w:style w:type="paragraph" w:styleId="BodyTextIndent">
    <w:name w:val="Body Text Indent"/>
    <w:basedOn w:val="Normal"/>
    <w:link w:val="BodyTextIndentChar"/>
    <w:rsid w:val="0024154D"/>
    <w:pPr>
      <w:ind w:left="-360"/>
      <w:jc w:val="both"/>
    </w:pPr>
    <w:rPr>
      <w:rFonts w:ascii="Times New Roman" w:eastAsia="Times New Roman" w:hAnsi="Times New Roman"/>
      <w:noProof/>
      <w:sz w:val="22"/>
      <w:lang w:val="en-US"/>
    </w:rPr>
  </w:style>
  <w:style w:type="character" w:customStyle="1" w:styleId="BodyTextIndentChar">
    <w:name w:val="Body Text Indent Char"/>
    <w:basedOn w:val="DefaultParagraphFont"/>
    <w:link w:val="BodyTextIndent"/>
    <w:rsid w:val="0024154D"/>
    <w:rPr>
      <w:rFonts w:ascii="Times New Roman" w:eastAsia="Times New Roman" w:hAnsi="Times New Roman"/>
      <w:noProof/>
      <w:sz w:val="22"/>
      <w:szCs w:val="24"/>
    </w:rPr>
  </w:style>
  <w:style w:type="paragraph" w:styleId="FootnoteText">
    <w:name w:val="footnote text"/>
    <w:basedOn w:val="Normal"/>
    <w:link w:val="FootnoteTextChar"/>
    <w:uiPriority w:val="99"/>
    <w:unhideWhenUsed/>
    <w:rsid w:val="00F36A0B"/>
    <w:rPr>
      <w:rFonts w:asciiTheme="minorHAnsi" w:hAnsiTheme="minorHAnsi"/>
      <w:sz w:val="20"/>
      <w:szCs w:val="20"/>
      <w:lang w:eastAsia="fr-FR"/>
    </w:rPr>
  </w:style>
  <w:style w:type="character" w:customStyle="1" w:styleId="FootnoteTextChar">
    <w:name w:val="Footnote Text Char"/>
    <w:basedOn w:val="DefaultParagraphFont"/>
    <w:link w:val="FootnoteText"/>
    <w:uiPriority w:val="99"/>
    <w:rsid w:val="00F36A0B"/>
    <w:rPr>
      <w:rFonts w:asciiTheme="minorHAnsi" w:hAnsiTheme="minorHAnsi"/>
      <w:sz w:val="20"/>
      <w:szCs w:val="20"/>
      <w:lang w:val="en-GB" w:eastAsia="fr-FR"/>
    </w:rPr>
  </w:style>
  <w:style w:type="character" w:styleId="FootnoteReference">
    <w:name w:val="footnote reference"/>
    <w:uiPriority w:val="99"/>
    <w:unhideWhenUsed/>
    <w:qFormat/>
    <w:rsid w:val="00F5694A"/>
    <w:rPr>
      <w:vertAlign w:val="superscript"/>
    </w:rPr>
  </w:style>
  <w:style w:type="paragraph" w:customStyle="1" w:styleId="task">
    <w:name w:val="task"/>
    <w:basedOn w:val="Normal"/>
    <w:link w:val="taskChar"/>
    <w:qFormat/>
    <w:rsid w:val="00F5694A"/>
    <w:pPr>
      <w:tabs>
        <w:tab w:val="left" w:pos="680"/>
      </w:tabs>
      <w:ind w:left="680" w:hanging="680"/>
    </w:pPr>
    <w:rPr>
      <w:rFonts w:ascii="Arial" w:eastAsia="Calibri" w:hAnsi="Arial"/>
    </w:rPr>
  </w:style>
  <w:style w:type="character" w:customStyle="1" w:styleId="taskChar">
    <w:name w:val="task Char"/>
    <w:link w:val="task"/>
    <w:rsid w:val="00F5694A"/>
    <w:rPr>
      <w:rFonts w:ascii="Arial" w:eastAsia="Calibri" w:hAnsi="Arial"/>
      <w:sz w:val="24"/>
      <w:szCs w:val="24"/>
      <w:lang w:val="en-GB"/>
    </w:rPr>
  </w:style>
  <w:style w:type="character" w:styleId="CommentReference">
    <w:name w:val="annotation reference"/>
    <w:uiPriority w:val="99"/>
    <w:semiHidden/>
    <w:unhideWhenUsed/>
    <w:rsid w:val="00F5694A"/>
    <w:rPr>
      <w:sz w:val="16"/>
      <w:szCs w:val="16"/>
    </w:rPr>
  </w:style>
  <w:style w:type="paragraph" w:styleId="CommentText">
    <w:name w:val="annotation text"/>
    <w:basedOn w:val="Normal"/>
    <w:link w:val="CommentTextChar"/>
    <w:uiPriority w:val="99"/>
    <w:unhideWhenUsed/>
    <w:rsid w:val="00F5694A"/>
    <w:pPr>
      <w:spacing w:after="200"/>
    </w:pPr>
    <w:rPr>
      <w:rFonts w:ascii="Calibri" w:hAnsi="Calibri"/>
      <w:sz w:val="20"/>
      <w:szCs w:val="20"/>
      <w:lang w:val="fr-FR" w:eastAsia="fr-FR"/>
    </w:rPr>
  </w:style>
  <w:style w:type="character" w:customStyle="1" w:styleId="CommentTextChar">
    <w:name w:val="Comment Text Char"/>
    <w:basedOn w:val="DefaultParagraphFont"/>
    <w:link w:val="CommentText"/>
    <w:uiPriority w:val="99"/>
    <w:rsid w:val="00F5694A"/>
    <w:rPr>
      <w:rFonts w:ascii="Calibri" w:hAnsi="Calibri"/>
      <w:lang w:val="fr-FR" w:eastAsia="fr-FR"/>
    </w:rPr>
  </w:style>
  <w:style w:type="character" w:customStyle="1" w:styleId="BalloonTextChar1">
    <w:name w:val="Balloon Text Char1"/>
    <w:basedOn w:val="DefaultParagraphFont"/>
    <w:link w:val="BalloonText"/>
    <w:uiPriority w:val="99"/>
    <w:semiHidden/>
    <w:rsid w:val="00F5694A"/>
    <w:rPr>
      <w:rFonts w:ascii="Tahoma" w:hAnsi="Tahoma" w:cs="Tahoma"/>
      <w:sz w:val="16"/>
      <w:szCs w:val="16"/>
      <w:lang w:val="en-GB"/>
    </w:rPr>
  </w:style>
  <w:style w:type="paragraph" w:styleId="ListParagraph">
    <w:name w:val="List Paragraph"/>
    <w:basedOn w:val="Normal"/>
    <w:uiPriority w:val="72"/>
    <w:qFormat/>
    <w:rsid w:val="00D063F9"/>
    <w:pPr>
      <w:ind w:left="720"/>
      <w:contextualSpacing/>
    </w:pPr>
  </w:style>
  <w:style w:type="character" w:styleId="Hyperlink">
    <w:name w:val="Hyperlink"/>
    <w:uiPriority w:val="99"/>
    <w:unhideWhenUsed/>
    <w:rsid w:val="00161059"/>
    <w:rPr>
      <w:color w:val="0000FF"/>
      <w:u w:val="single"/>
    </w:rPr>
  </w:style>
  <w:style w:type="character" w:customStyle="1" w:styleId="Heading3Char">
    <w:name w:val="Heading 3 Char"/>
    <w:basedOn w:val="DefaultParagraphFont"/>
    <w:link w:val="Heading3"/>
    <w:uiPriority w:val="9"/>
    <w:rsid w:val="00F9763E"/>
    <w:rPr>
      <w:rFonts w:asciiTheme="majorHAnsi" w:eastAsiaTheme="majorEastAsia" w:hAnsiTheme="majorHAnsi" w:cstheme="majorBidi"/>
      <w:b/>
      <w:bCs/>
      <w:color w:val="4F81BD" w:themeColor="accent1"/>
      <w:sz w:val="24"/>
      <w:szCs w:val="24"/>
      <w:lang w:val="en-GB"/>
    </w:rPr>
  </w:style>
  <w:style w:type="paragraph" w:styleId="IntenseQuote">
    <w:name w:val="Intense Quote"/>
    <w:basedOn w:val="Normal"/>
    <w:next w:val="Normal"/>
    <w:link w:val="IntenseQuoteChar"/>
    <w:uiPriority w:val="60"/>
    <w:qFormat/>
    <w:rsid w:val="0046754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46754F"/>
    <w:rPr>
      <w:b/>
      <w:bCs/>
      <w:i/>
      <w:iCs/>
      <w:color w:val="4F81BD" w:themeColor="accent1"/>
      <w:sz w:val="24"/>
      <w:szCs w:val="24"/>
      <w:lang w:val="en-GB"/>
    </w:rPr>
  </w:style>
  <w:style w:type="character" w:customStyle="1" w:styleId="Heading4Char">
    <w:name w:val="Heading 4 Char"/>
    <w:basedOn w:val="DefaultParagraphFont"/>
    <w:link w:val="Heading4"/>
    <w:uiPriority w:val="9"/>
    <w:rsid w:val="0046754F"/>
    <w:rPr>
      <w:rFonts w:asciiTheme="majorHAnsi" w:eastAsiaTheme="majorEastAsia" w:hAnsiTheme="majorHAnsi" w:cstheme="majorBidi"/>
      <w:b/>
      <w:bCs/>
      <w:i/>
      <w:iCs/>
      <w:color w:val="4F81BD" w:themeColor="accent1"/>
      <w:sz w:val="24"/>
      <w:szCs w:val="24"/>
      <w:lang w:val="en-GB"/>
    </w:rPr>
  </w:style>
  <w:style w:type="character" w:customStyle="1" w:styleId="Heading5Char">
    <w:name w:val="Heading 5 Char"/>
    <w:basedOn w:val="DefaultParagraphFont"/>
    <w:link w:val="Heading5"/>
    <w:uiPriority w:val="9"/>
    <w:rsid w:val="00ED476B"/>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uiPriority w:val="9"/>
    <w:rsid w:val="00ED476B"/>
    <w:rPr>
      <w:rFonts w:asciiTheme="majorHAnsi" w:eastAsiaTheme="majorEastAsia" w:hAnsiTheme="majorHAnsi" w:cstheme="majorBidi"/>
      <w:i/>
      <w:iCs/>
      <w:color w:val="243F60" w:themeColor="accent1" w:themeShade="7F"/>
      <w:sz w:val="24"/>
      <w:szCs w:val="24"/>
      <w:lang w:val="en-GB"/>
    </w:rPr>
  </w:style>
  <w:style w:type="paragraph" w:styleId="DocumentMap">
    <w:name w:val="Document Map"/>
    <w:basedOn w:val="Normal"/>
    <w:link w:val="DocumentMapChar"/>
    <w:uiPriority w:val="99"/>
    <w:semiHidden/>
    <w:unhideWhenUsed/>
    <w:rsid w:val="00654B52"/>
    <w:rPr>
      <w:rFonts w:ascii="Lucida Grande" w:hAnsi="Lucida Grande" w:cs="Lucida Grande"/>
    </w:rPr>
  </w:style>
  <w:style w:type="character" w:customStyle="1" w:styleId="DocumentMapChar">
    <w:name w:val="Document Map Char"/>
    <w:basedOn w:val="DefaultParagraphFont"/>
    <w:link w:val="DocumentMap"/>
    <w:uiPriority w:val="99"/>
    <w:semiHidden/>
    <w:rsid w:val="00654B52"/>
    <w:rPr>
      <w:rFonts w:ascii="Lucida Grande" w:hAnsi="Lucida Grande" w:cs="Lucida Grande"/>
      <w:sz w:val="24"/>
      <w:szCs w:val="24"/>
      <w:lang w:val="en-GB"/>
    </w:rPr>
  </w:style>
  <w:style w:type="paragraph" w:styleId="Subtitle">
    <w:name w:val="Subtitle"/>
    <w:basedOn w:val="Normal"/>
    <w:next w:val="Normal"/>
    <w:link w:val="SubtitleChar"/>
    <w:uiPriority w:val="11"/>
    <w:qFormat/>
    <w:rsid w:val="00E949D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949D0"/>
    <w:rPr>
      <w:rFonts w:asciiTheme="majorHAnsi" w:eastAsiaTheme="majorEastAsia" w:hAnsiTheme="majorHAnsi" w:cstheme="majorBidi"/>
      <w:i/>
      <w:iCs/>
      <w:color w:val="4F81BD" w:themeColor="accent1"/>
      <w:spacing w:val="15"/>
      <w:sz w:val="24"/>
      <w:szCs w:val="24"/>
      <w:lang w:val="en-GB"/>
    </w:rPr>
  </w:style>
  <w:style w:type="paragraph" w:styleId="CommentSubject">
    <w:name w:val="annotation subject"/>
    <w:basedOn w:val="CommentText"/>
    <w:next w:val="CommentText"/>
    <w:link w:val="CommentSubjectChar"/>
    <w:uiPriority w:val="99"/>
    <w:semiHidden/>
    <w:unhideWhenUsed/>
    <w:rsid w:val="00293E75"/>
    <w:pPr>
      <w:spacing w:after="0"/>
    </w:pPr>
    <w:rPr>
      <w:rFonts w:ascii="Cambria" w:hAnsi="Cambria"/>
      <w:b/>
      <w:bCs/>
      <w:lang w:val="en-GB" w:eastAsia="en-US"/>
    </w:rPr>
  </w:style>
  <w:style w:type="character" w:customStyle="1" w:styleId="CommentSubjectChar">
    <w:name w:val="Comment Subject Char"/>
    <w:basedOn w:val="CommentTextChar"/>
    <w:link w:val="CommentSubject"/>
    <w:uiPriority w:val="99"/>
    <w:semiHidden/>
    <w:rsid w:val="00293E75"/>
    <w:rPr>
      <w:rFonts w:ascii="Calibri" w:hAnsi="Calibri"/>
      <w:b/>
      <w:bCs/>
      <w:lang w:val="en-GB" w:eastAsia="fr-FR"/>
    </w:rPr>
  </w:style>
  <w:style w:type="paragraph" w:styleId="Header">
    <w:name w:val="header"/>
    <w:basedOn w:val="Normal"/>
    <w:link w:val="HeaderChar"/>
    <w:uiPriority w:val="99"/>
    <w:semiHidden/>
    <w:unhideWhenUsed/>
    <w:rsid w:val="00DE507F"/>
    <w:pPr>
      <w:tabs>
        <w:tab w:val="center" w:pos="4680"/>
        <w:tab w:val="right" w:pos="9360"/>
      </w:tabs>
    </w:pPr>
  </w:style>
  <w:style w:type="character" w:customStyle="1" w:styleId="HeaderChar">
    <w:name w:val="Header Char"/>
    <w:basedOn w:val="DefaultParagraphFont"/>
    <w:link w:val="Header"/>
    <w:uiPriority w:val="99"/>
    <w:semiHidden/>
    <w:rsid w:val="00DE507F"/>
    <w:rPr>
      <w:lang w:val="en-GB"/>
    </w:rPr>
  </w:style>
  <w:style w:type="paragraph" w:styleId="Footer">
    <w:name w:val="footer"/>
    <w:basedOn w:val="Normal"/>
    <w:link w:val="FooterChar"/>
    <w:uiPriority w:val="99"/>
    <w:unhideWhenUsed/>
    <w:rsid w:val="00DE507F"/>
    <w:pPr>
      <w:tabs>
        <w:tab w:val="center" w:pos="4680"/>
        <w:tab w:val="right" w:pos="9360"/>
      </w:tabs>
    </w:pPr>
  </w:style>
  <w:style w:type="character" w:customStyle="1" w:styleId="FooterChar">
    <w:name w:val="Footer Char"/>
    <w:basedOn w:val="DefaultParagraphFont"/>
    <w:link w:val="Footer"/>
    <w:uiPriority w:val="99"/>
    <w:rsid w:val="00DE507F"/>
    <w:rPr>
      <w:lang w:val="en-GB"/>
    </w:rPr>
  </w:style>
  <w:style w:type="character" w:customStyle="1" w:styleId="apple-converted-space">
    <w:name w:val="apple-converted-space"/>
    <w:basedOn w:val="DefaultParagraphFont"/>
    <w:rsid w:val="00DE507F"/>
  </w:style>
  <w:style w:type="character" w:styleId="FollowedHyperlink">
    <w:name w:val="FollowedHyperlink"/>
    <w:basedOn w:val="DefaultParagraphFont"/>
    <w:uiPriority w:val="99"/>
    <w:semiHidden/>
    <w:unhideWhenUsed/>
    <w:rsid w:val="00BC42B2"/>
    <w:rPr>
      <w:color w:val="800080" w:themeColor="followedHyperlink"/>
      <w:u w:val="single"/>
    </w:rPr>
  </w:style>
  <w:style w:type="character" w:styleId="Strong">
    <w:name w:val="Strong"/>
    <w:basedOn w:val="DefaultParagraphFont"/>
    <w:uiPriority w:val="22"/>
    <w:qFormat/>
    <w:rsid w:val="00253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932847">
      <w:bodyDiv w:val="1"/>
      <w:marLeft w:val="0"/>
      <w:marRight w:val="0"/>
      <w:marTop w:val="0"/>
      <w:marBottom w:val="0"/>
      <w:divBdr>
        <w:top w:val="none" w:sz="0" w:space="0" w:color="auto"/>
        <w:left w:val="none" w:sz="0" w:space="0" w:color="auto"/>
        <w:bottom w:val="none" w:sz="0" w:space="0" w:color="auto"/>
        <w:right w:val="none" w:sz="0" w:space="0" w:color="auto"/>
      </w:divBdr>
      <w:divsChild>
        <w:div w:id="775756902">
          <w:marLeft w:val="0"/>
          <w:marRight w:val="0"/>
          <w:marTop w:val="0"/>
          <w:marBottom w:val="0"/>
          <w:divBdr>
            <w:top w:val="none" w:sz="0" w:space="0" w:color="auto"/>
            <w:left w:val="none" w:sz="0" w:space="0" w:color="auto"/>
            <w:bottom w:val="none" w:sz="0" w:space="0" w:color="auto"/>
            <w:right w:val="none" w:sz="0" w:space="0" w:color="auto"/>
          </w:divBdr>
          <w:divsChild>
            <w:div w:id="1120419902">
              <w:marLeft w:val="0"/>
              <w:marRight w:val="0"/>
              <w:marTop w:val="0"/>
              <w:marBottom w:val="0"/>
              <w:divBdr>
                <w:top w:val="none" w:sz="0" w:space="0" w:color="auto"/>
                <w:left w:val="none" w:sz="0" w:space="0" w:color="auto"/>
                <w:bottom w:val="none" w:sz="0" w:space="0" w:color="auto"/>
                <w:right w:val="none" w:sz="0" w:space="0" w:color="auto"/>
              </w:divBdr>
              <w:divsChild>
                <w:div w:id="17913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94612">
      <w:bodyDiv w:val="1"/>
      <w:marLeft w:val="0"/>
      <w:marRight w:val="0"/>
      <w:marTop w:val="0"/>
      <w:marBottom w:val="0"/>
      <w:divBdr>
        <w:top w:val="none" w:sz="0" w:space="0" w:color="auto"/>
        <w:left w:val="none" w:sz="0" w:space="0" w:color="auto"/>
        <w:bottom w:val="none" w:sz="0" w:space="0" w:color="auto"/>
        <w:right w:val="none" w:sz="0" w:space="0" w:color="auto"/>
      </w:divBdr>
    </w:div>
    <w:div w:id="173817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printerSettings" Target="printerSettings/printerSettings1.bin"/></Relationships>
</file>

<file path=word/_rels/footnotes.xml.rels><?xml version="1.0" encoding="UTF-8" standalone="yes"?>
<Relationships xmlns="http://schemas.openxmlformats.org/package/2006/relationships"><Relationship Id="rId1" Type="http://schemas.openxmlformats.org/officeDocument/2006/relationships/hyperlink" Target="http://www.unodc.org/unodc/en/data-and-analysis/statistics/cri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5DD1-93F1-F741-94B7-79425683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16195</Words>
  <Characters>92315</Characters>
  <Application>Microsoft Macintosh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108294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slider154 slider</dc:creator>
  <cp:lastModifiedBy>Microsoft Office User</cp:lastModifiedBy>
  <cp:revision>3</cp:revision>
  <cp:lastPrinted>2015-04-21T09:34:00Z</cp:lastPrinted>
  <dcterms:created xsi:type="dcterms:W3CDTF">2015-04-21T09:34:00Z</dcterms:created>
  <dcterms:modified xsi:type="dcterms:W3CDTF">2015-04-21T09:34:00Z</dcterms:modified>
</cp:coreProperties>
</file>