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8B5813" w14:textId="77777777" w:rsidR="00300FE9" w:rsidRDefault="00300FE9" w:rsidP="00656474">
      <w:pPr>
        <w:spacing w:after="154" w:line="259" w:lineRule="auto"/>
        <w:ind w:left="-5"/>
        <w:jc w:val="center"/>
        <w:rPr>
          <w:rFonts w:asciiTheme="minorHAnsi" w:hAnsiTheme="minorHAnsi"/>
          <w:b/>
          <w:sz w:val="28"/>
          <w:szCs w:val="28"/>
        </w:rPr>
      </w:pPr>
    </w:p>
    <w:p w14:paraId="38BEB443" w14:textId="3A9220FC" w:rsidR="00656474" w:rsidRPr="00300FE9" w:rsidRDefault="00656474" w:rsidP="00656474">
      <w:pPr>
        <w:spacing w:after="154" w:line="259" w:lineRule="auto"/>
        <w:ind w:left="-5"/>
        <w:jc w:val="center"/>
        <w:rPr>
          <w:rFonts w:asciiTheme="minorHAnsi" w:hAnsiTheme="minorHAnsi"/>
          <w:b/>
          <w:sz w:val="28"/>
          <w:szCs w:val="28"/>
        </w:rPr>
      </w:pPr>
      <w:r w:rsidRPr="00300FE9">
        <w:rPr>
          <w:rFonts w:asciiTheme="minorHAnsi" w:hAnsiTheme="minorHAnsi"/>
          <w:b/>
          <w:sz w:val="28"/>
          <w:szCs w:val="28"/>
        </w:rPr>
        <w:t xml:space="preserve">Postgraduate Research Students, </w:t>
      </w:r>
      <w:r w:rsidR="00862073">
        <w:rPr>
          <w:rFonts w:asciiTheme="minorHAnsi" w:hAnsiTheme="minorHAnsi"/>
          <w:b/>
          <w:sz w:val="28"/>
          <w:szCs w:val="28"/>
        </w:rPr>
        <w:t>University of Galway</w:t>
      </w:r>
    </w:p>
    <w:p w14:paraId="0716335A" w14:textId="77777777" w:rsidR="0056260A" w:rsidRPr="00300FE9" w:rsidRDefault="004E41A6" w:rsidP="0056260A">
      <w:pPr>
        <w:spacing w:after="154" w:line="259" w:lineRule="auto"/>
        <w:ind w:left="-5"/>
        <w:jc w:val="center"/>
        <w:rPr>
          <w:rFonts w:asciiTheme="minorHAnsi" w:hAnsiTheme="minorHAnsi"/>
          <w:b/>
          <w:sz w:val="28"/>
          <w:szCs w:val="28"/>
        </w:rPr>
      </w:pPr>
      <w:r w:rsidRPr="00300FE9">
        <w:rPr>
          <w:rFonts w:asciiTheme="minorHAnsi" w:hAnsiTheme="minorHAnsi"/>
          <w:b/>
          <w:sz w:val="28"/>
          <w:szCs w:val="28"/>
        </w:rPr>
        <w:t xml:space="preserve">National Student Survey </w:t>
      </w:r>
    </w:p>
    <w:p w14:paraId="79BCC255" w14:textId="605F28A6" w:rsidR="00574A5C" w:rsidRPr="00300FE9" w:rsidRDefault="00775E97" w:rsidP="00656474">
      <w:pPr>
        <w:spacing w:after="154" w:line="259" w:lineRule="auto"/>
        <w:ind w:left="-5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School of Education</w:t>
      </w:r>
    </w:p>
    <w:p w14:paraId="59783163" w14:textId="31BDB0DB" w:rsidR="008504D9" w:rsidRDefault="00574A5C" w:rsidP="00300FE9">
      <w:pPr>
        <w:spacing w:after="154" w:line="259" w:lineRule="auto"/>
        <w:ind w:left="-5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00FE9">
        <w:rPr>
          <w:rFonts w:asciiTheme="minorHAnsi" w:hAnsiTheme="minorHAnsi"/>
          <w:b/>
          <w:sz w:val="28"/>
          <w:szCs w:val="28"/>
        </w:rPr>
        <w:t>202</w:t>
      </w:r>
      <w:r w:rsidR="00862073">
        <w:rPr>
          <w:rFonts w:asciiTheme="minorHAnsi" w:hAnsiTheme="minorHAnsi"/>
          <w:b/>
          <w:sz w:val="28"/>
          <w:szCs w:val="28"/>
        </w:rPr>
        <w:t>4</w:t>
      </w:r>
      <w:r w:rsidRPr="00300FE9">
        <w:rPr>
          <w:rFonts w:asciiTheme="minorHAnsi" w:hAnsiTheme="minorHAnsi"/>
          <w:b/>
          <w:sz w:val="28"/>
          <w:szCs w:val="28"/>
        </w:rPr>
        <w:t xml:space="preserve"> Action Plan</w:t>
      </w:r>
      <w:r w:rsidR="0008587E">
        <w:rPr>
          <w:rFonts w:asciiTheme="minorHAnsi" w:hAnsiTheme="minorHAnsi"/>
          <w:b/>
          <w:sz w:val="28"/>
          <w:szCs w:val="28"/>
        </w:rPr>
        <w:t xml:space="preserve"> </w:t>
      </w:r>
    </w:p>
    <w:p w14:paraId="32871110" w14:textId="77777777" w:rsidR="009D5422" w:rsidRDefault="009D5422" w:rsidP="00AF65FB">
      <w:pPr>
        <w:spacing w:after="154" w:line="259" w:lineRule="auto"/>
        <w:ind w:left="-5"/>
        <w:rPr>
          <w:rFonts w:asciiTheme="minorHAnsi" w:hAnsiTheme="minorHAnsi"/>
          <w:b/>
          <w:sz w:val="22"/>
        </w:rPr>
      </w:pPr>
    </w:p>
    <w:p w14:paraId="33F2978A" w14:textId="00615DA9" w:rsidR="005132FC" w:rsidRPr="00AF65FB" w:rsidRDefault="00E738BD" w:rsidP="008A513B">
      <w:pPr>
        <w:spacing w:after="154" w:line="259" w:lineRule="auto"/>
        <w:ind w:left="-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Overall, </w:t>
      </w:r>
      <w:r w:rsidR="009D5422">
        <w:rPr>
          <w:rFonts w:asciiTheme="minorHAnsi" w:hAnsiTheme="minorHAnsi"/>
          <w:sz w:val="22"/>
        </w:rPr>
        <w:t xml:space="preserve">the School of Education is </w:t>
      </w:r>
      <w:r>
        <w:rPr>
          <w:rFonts w:asciiTheme="minorHAnsi" w:hAnsiTheme="minorHAnsi"/>
          <w:sz w:val="22"/>
        </w:rPr>
        <w:t xml:space="preserve">very pleased with the </w:t>
      </w:r>
      <w:r w:rsidR="008A513B">
        <w:rPr>
          <w:rFonts w:asciiTheme="minorHAnsi" w:hAnsiTheme="minorHAnsi"/>
          <w:sz w:val="22"/>
        </w:rPr>
        <w:t xml:space="preserve">Postgraduate Research </w:t>
      </w:r>
      <w:r>
        <w:rPr>
          <w:rFonts w:asciiTheme="minorHAnsi" w:hAnsiTheme="minorHAnsi"/>
          <w:sz w:val="22"/>
        </w:rPr>
        <w:t xml:space="preserve">scores received. They suggest high to very high levels of satisfaction </w:t>
      </w:r>
      <w:r w:rsidR="00CF708C">
        <w:rPr>
          <w:rFonts w:asciiTheme="minorHAnsi" w:hAnsiTheme="minorHAnsi"/>
          <w:sz w:val="22"/>
        </w:rPr>
        <w:t xml:space="preserve">amongst Education PhD students.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561"/>
        <w:gridCol w:w="2098"/>
        <w:gridCol w:w="5914"/>
        <w:gridCol w:w="1412"/>
        <w:gridCol w:w="1242"/>
      </w:tblGrid>
      <w:tr w:rsidR="009B06DF" w14:paraId="38797952" w14:textId="77777777" w:rsidTr="00225E10">
        <w:tc>
          <w:tcPr>
            <w:tcW w:w="561" w:type="dxa"/>
          </w:tcPr>
          <w:p w14:paraId="77400FE7" w14:textId="442313BB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98" w:type="dxa"/>
          </w:tcPr>
          <w:p w14:paraId="6FAF1264" w14:textId="4312D285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914" w:type="dxa"/>
          </w:tcPr>
          <w:p w14:paraId="2A6181BD" w14:textId="7A279C1A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00FE9">
              <w:rPr>
                <w:rFonts w:asciiTheme="minorHAnsi" w:eastAsia="Arial" w:hAnsiTheme="minorHAnsi" w:cs="Arial"/>
                <w:b/>
                <w:sz w:val="22"/>
              </w:rPr>
              <w:t>Action</w:t>
            </w:r>
            <w:r>
              <w:rPr>
                <w:rFonts w:asciiTheme="minorHAnsi" w:eastAsia="Arial" w:hAnsiTheme="minorHAnsi" w:cs="Arial"/>
                <w:b/>
                <w:sz w:val="22"/>
              </w:rPr>
              <w:t>s</w:t>
            </w:r>
          </w:p>
        </w:tc>
        <w:tc>
          <w:tcPr>
            <w:tcW w:w="1412" w:type="dxa"/>
          </w:tcPr>
          <w:p w14:paraId="79BAE96D" w14:textId="75A4E2F7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>Responsible</w:t>
            </w:r>
          </w:p>
        </w:tc>
        <w:tc>
          <w:tcPr>
            <w:tcW w:w="1242" w:type="dxa"/>
          </w:tcPr>
          <w:p w14:paraId="16042AD9" w14:textId="77777777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 w:rsidRPr="00300FE9">
              <w:rPr>
                <w:rFonts w:asciiTheme="minorHAnsi" w:eastAsia="Arial" w:hAnsiTheme="minorHAnsi" w:cs="Arial"/>
                <w:b/>
                <w:sz w:val="22"/>
              </w:rPr>
              <w:t>Status</w:t>
            </w:r>
            <w:r>
              <w:rPr>
                <w:rFonts w:asciiTheme="minorHAnsi" w:eastAsia="Arial" w:hAnsiTheme="minorHAnsi" w:cs="Arial"/>
                <w:b/>
                <w:sz w:val="22"/>
              </w:rPr>
              <w:t>*</w:t>
            </w:r>
          </w:p>
          <w:p w14:paraId="1299FC87" w14:textId="58D4C178" w:rsidR="008740C1" w:rsidRDefault="005132FC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eastAsia="Arial" w:hAnsiTheme="minorHAnsi" w:cs="Arial"/>
                <w:b/>
                <w:sz w:val="28"/>
                <w:szCs w:val="28"/>
              </w:rPr>
              <w:t>March 2024</w:t>
            </w:r>
          </w:p>
        </w:tc>
      </w:tr>
      <w:tr w:rsidR="009B06DF" w14:paraId="0D32EF77" w14:textId="77777777" w:rsidTr="00225E10">
        <w:tc>
          <w:tcPr>
            <w:tcW w:w="561" w:type="dxa"/>
          </w:tcPr>
          <w:p w14:paraId="67FD3EE7" w14:textId="22BCA113" w:rsidR="001C66E1" w:rsidRPr="00300FE9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sz w:val="22"/>
              </w:rPr>
            </w:pPr>
            <w:r w:rsidRPr="00300FE9">
              <w:rPr>
                <w:rFonts w:asciiTheme="minorHAnsi" w:eastAsia="Arial" w:hAnsiTheme="minorHAnsi" w:cs="Arial"/>
                <w:sz w:val="22"/>
              </w:rPr>
              <w:t>1</w:t>
            </w:r>
          </w:p>
        </w:tc>
        <w:tc>
          <w:tcPr>
            <w:tcW w:w="2098" w:type="dxa"/>
          </w:tcPr>
          <w:p w14:paraId="79631B80" w14:textId="397C1166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>Research Infrastructure and Facilities</w:t>
            </w:r>
          </w:p>
        </w:tc>
        <w:tc>
          <w:tcPr>
            <w:tcW w:w="5914" w:type="dxa"/>
          </w:tcPr>
          <w:p w14:paraId="6A22F9CE" w14:textId="061366CE" w:rsidR="001C66E1" w:rsidRPr="0026296B" w:rsidRDefault="00220360" w:rsidP="0026296B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Scores here are </w:t>
            </w:r>
            <w:r w:rsidR="00931EB3">
              <w:rPr>
                <w:rFonts w:asciiTheme="minorHAnsi" w:hAnsiTheme="minorHAnsi"/>
                <w:sz w:val="20"/>
                <w:szCs w:val="20"/>
              </w:rPr>
              <w:t>generally good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931EB3">
              <w:rPr>
                <w:rFonts w:asciiTheme="minorHAnsi" w:hAnsiTheme="minorHAnsi"/>
                <w:sz w:val="20"/>
                <w:szCs w:val="20"/>
              </w:rPr>
              <w:t>69-79%). As an aside, while w</w:t>
            </w:r>
            <w:r w:rsidR="003B2877">
              <w:rPr>
                <w:rFonts w:asciiTheme="minorHAnsi" w:hAnsiTheme="minorHAnsi"/>
                <w:sz w:val="20"/>
                <w:szCs w:val="20"/>
              </w:rPr>
              <w:t>e previously planned to</w:t>
            </w:r>
            <w:r w:rsidR="0026296B">
              <w:rPr>
                <w:rFonts w:asciiTheme="minorHAnsi" w:hAnsiTheme="minorHAnsi"/>
                <w:sz w:val="20"/>
                <w:szCs w:val="20"/>
              </w:rPr>
              <w:t xml:space="preserve"> mak</w:t>
            </w:r>
            <w:r w:rsidR="003B2877">
              <w:rPr>
                <w:rFonts w:asciiTheme="minorHAnsi" w:hAnsiTheme="minorHAnsi"/>
                <w:sz w:val="20"/>
                <w:szCs w:val="20"/>
              </w:rPr>
              <w:t>e</w:t>
            </w:r>
            <w:r w:rsidR="0026296B">
              <w:rPr>
                <w:rFonts w:asciiTheme="minorHAnsi" w:hAnsiTheme="minorHAnsi"/>
                <w:sz w:val="20"/>
                <w:szCs w:val="20"/>
              </w:rPr>
              <w:t xml:space="preserve"> available a PhD ‘hotdesk’ in Nuns’ Islan</w:t>
            </w:r>
            <w:r w:rsidR="003B2877">
              <w:rPr>
                <w:rFonts w:asciiTheme="minorHAnsi" w:hAnsiTheme="minorHAnsi"/>
                <w:sz w:val="20"/>
                <w:szCs w:val="20"/>
              </w:rPr>
              <w:t xml:space="preserve">d. Due to the expansion of our School and the </w:t>
            </w:r>
            <w:r>
              <w:rPr>
                <w:rFonts w:asciiTheme="minorHAnsi" w:hAnsiTheme="minorHAnsi"/>
                <w:sz w:val="20"/>
                <w:szCs w:val="20"/>
              </w:rPr>
              <w:t>incorporation</w:t>
            </w:r>
            <w:r w:rsidR="003B2877">
              <w:rPr>
                <w:rFonts w:asciiTheme="minorHAnsi" w:hAnsiTheme="minorHAnsi"/>
                <w:sz w:val="20"/>
                <w:szCs w:val="20"/>
              </w:rPr>
              <w:t xml:space="preserve"> of Children’s </w:t>
            </w:r>
            <w:r>
              <w:rPr>
                <w:rFonts w:asciiTheme="minorHAnsi" w:hAnsiTheme="minorHAnsi"/>
                <w:sz w:val="20"/>
                <w:szCs w:val="20"/>
              </w:rPr>
              <w:t>Studies</w:t>
            </w:r>
            <w:r w:rsidR="003B2877">
              <w:rPr>
                <w:rFonts w:asciiTheme="minorHAnsi" w:hAnsiTheme="minorHAnsi"/>
                <w:sz w:val="20"/>
                <w:szCs w:val="20"/>
              </w:rPr>
              <w:t xml:space="preserve">, without the </w:t>
            </w:r>
            <w:r>
              <w:rPr>
                <w:rFonts w:asciiTheme="minorHAnsi" w:hAnsiTheme="minorHAnsi"/>
                <w:sz w:val="20"/>
                <w:szCs w:val="20"/>
              </w:rPr>
              <w:t>provision</w:t>
            </w:r>
            <w:r w:rsidR="003B2877">
              <w:rPr>
                <w:rFonts w:asciiTheme="minorHAnsi" w:hAnsiTheme="minorHAnsi"/>
                <w:sz w:val="20"/>
                <w:szCs w:val="20"/>
              </w:rPr>
              <w:t xml:space="preserve"> of any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office space for staff, we are unable to provide this hot desk space at the moment. </w:t>
            </w:r>
            <w:r w:rsidR="000D4486">
              <w:rPr>
                <w:rFonts w:asciiTheme="minorHAnsi" w:hAnsiTheme="minorHAnsi"/>
                <w:sz w:val="20"/>
                <w:szCs w:val="20"/>
              </w:rPr>
              <w:t>We will continue to keep this ‘on the table’.</w:t>
            </w:r>
          </w:p>
        </w:tc>
        <w:tc>
          <w:tcPr>
            <w:tcW w:w="1412" w:type="dxa"/>
          </w:tcPr>
          <w:p w14:paraId="4CCD68A5" w14:textId="77777777" w:rsidR="00BF57D4" w:rsidRDefault="00BF57D4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E3E6441" w14:textId="77777777" w:rsidR="00BF57D4" w:rsidRDefault="00BF57D4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AD63ADC" w14:textId="30606CE5" w:rsidR="001C66E1" w:rsidRPr="00EA7A8F" w:rsidRDefault="0026296B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A7A8F">
              <w:rPr>
                <w:rFonts w:asciiTheme="minorHAnsi" w:hAnsiTheme="minorHAnsi"/>
                <w:b/>
                <w:sz w:val="20"/>
                <w:szCs w:val="20"/>
              </w:rPr>
              <w:t>HoS</w:t>
            </w:r>
          </w:p>
        </w:tc>
        <w:tc>
          <w:tcPr>
            <w:tcW w:w="1242" w:type="dxa"/>
          </w:tcPr>
          <w:p w14:paraId="39D3EE99" w14:textId="48004BE3" w:rsidR="001C66E1" w:rsidRDefault="0026296B" w:rsidP="00772A23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  <w:r w:rsidRPr="00EA7A8F"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  <w:t>*</w:t>
            </w:r>
            <w:r w:rsidR="00B401FA"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  <w:t>In progress</w:t>
            </w:r>
          </w:p>
          <w:p w14:paraId="679D00C2" w14:textId="7DFE90E8" w:rsidR="00772A23" w:rsidRPr="00BF57D4" w:rsidRDefault="00772A23" w:rsidP="00BF57D4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  <w:t>(Delayed due to inadequate office space for staff)</w:t>
            </w:r>
          </w:p>
        </w:tc>
      </w:tr>
      <w:tr w:rsidR="009B06DF" w14:paraId="5EDEA544" w14:textId="77777777" w:rsidTr="00225E10">
        <w:tc>
          <w:tcPr>
            <w:tcW w:w="561" w:type="dxa"/>
          </w:tcPr>
          <w:p w14:paraId="573B768C" w14:textId="10F00DCA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00FE9">
              <w:rPr>
                <w:rFonts w:asciiTheme="minorHAnsi" w:eastAsia="Arial" w:hAnsiTheme="minorHAnsi" w:cs="Arial"/>
                <w:b/>
                <w:sz w:val="22"/>
              </w:rPr>
              <w:t>2</w:t>
            </w:r>
          </w:p>
        </w:tc>
        <w:tc>
          <w:tcPr>
            <w:tcW w:w="2098" w:type="dxa"/>
          </w:tcPr>
          <w:p w14:paraId="1F3FAD4E" w14:textId="644DC976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 xml:space="preserve">Supervision </w:t>
            </w:r>
          </w:p>
        </w:tc>
        <w:tc>
          <w:tcPr>
            <w:tcW w:w="5914" w:type="dxa"/>
          </w:tcPr>
          <w:p w14:paraId="68E85802" w14:textId="477DE978" w:rsidR="008E6B0F" w:rsidRPr="008E6B0F" w:rsidRDefault="0026296B" w:rsidP="00EE265A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6296B">
              <w:rPr>
                <w:rFonts w:asciiTheme="minorHAnsi" w:hAnsiTheme="minorHAnsi"/>
                <w:sz w:val="20"/>
                <w:szCs w:val="20"/>
              </w:rPr>
              <w:t>No actions are planned here</w:t>
            </w:r>
            <w:r w:rsidR="00E84B07">
              <w:rPr>
                <w:rFonts w:asciiTheme="minorHAnsi" w:hAnsiTheme="minorHAnsi"/>
                <w:sz w:val="20"/>
                <w:szCs w:val="20"/>
              </w:rPr>
              <w:t xml:space="preserve"> as very high satisfaction rates were reported</w:t>
            </w:r>
            <w:r w:rsidRPr="0026296B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687F68">
              <w:rPr>
                <w:rFonts w:asciiTheme="minorHAnsi" w:hAnsiTheme="minorHAnsi"/>
                <w:sz w:val="20"/>
                <w:szCs w:val="20"/>
              </w:rPr>
              <w:t>100% of Education PhDs responded that the</w:t>
            </w:r>
            <w:r w:rsidR="009F276C">
              <w:rPr>
                <w:rFonts w:asciiTheme="minorHAnsi" w:hAnsiTheme="minorHAnsi"/>
                <w:sz w:val="20"/>
                <w:szCs w:val="20"/>
              </w:rPr>
              <w:t>y</w:t>
            </w:r>
            <w:r w:rsidR="00687F6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84B07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r w:rsidR="009F276C">
              <w:rPr>
                <w:rFonts w:asciiTheme="minorHAnsi" w:hAnsiTheme="minorHAnsi"/>
                <w:sz w:val="20"/>
                <w:szCs w:val="20"/>
              </w:rPr>
              <w:t xml:space="preserve">were provided with the appropriate level of support by their supervisor, b) had regular and appropriate contact with their supervisor, c) </w:t>
            </w:r>
            <w:r w:rsidR="005963D9">
              <w:rPr>
                <w:rFonts w:asciiTheme="minorHAnsi" w:hAnsiTheme="minorHAnsi"/>
                <w:sz w:val="20"/>
                <w:szCs w:val="20"/>
              </w:rPr>
              <w:t xml:space="preserve">received </w:t>
            </w:r>
            <w:r w:rsidR="00AD2F25">
              <w:rPr>
                <w:rFonts w:asciiTheme="minorHAnsi" w:hAnsiTheme="minorHAnsi"/>
                <w:sz w:val="20"/>
                <w:szCs w:val="20"/>
              </w:rPr>
              <w:t>appropriate feedback on their research</w:t>
            </w:r>
            <w:r w:rsidR="0052533D">
              <w:rPr>
                <w:rFonts w:asciiTheme="minorHAnsi" w:hAnsiTheme="minorHAnsi"/>
                <w:sz w:val="20"/>
                <w:szCs w:val="20"/>
              </w:rPr>
              <w:t xml:space="preserve"> from their supervisor</w:t>
            </w:r>
            <w:r w:rsidR="00AD2F25">
              <w:rPr>
                <w:rFonts w:asciiTheme="minorHAnsi" w:hAnsiTheme="minorHAnsi"/>
                <w:sz w:val="20"/>
                <w:szCs w:val="20"/>
              </w:rPr>
              <w:t xml:space="preserve">, and d) were helped by their supervisor to identify training and development needs. </w:t>
            </w:r>
          </w:p>
        </w:tc>
        <w:tc>
          <w:tcPr>
            <w:tcW w:w="1412" w:type="dxa"/>
          </w:tcPr>
          <w:p w14:paraId="34853A4A" w14:textId="70D071BC" w:rsidR="001C66E1" w:rsidRPr="00EA7A8F" w:rsidRDefault="0026296B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A7A8F"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242" w:type="dxa"/>
          </w:tcPr>
          <w:p w14:paraId="761A027E" w14:textId="037A8B40" w:rsidR="001C66E1" w:rsidRPr="00EA7A8F" w:rsidRDefault="0026296B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A7A8F"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</w:tr>
      <w:tr w:rsidR="009B06DF" w14:paraId="25645985" w14:textId="77777777" w:rsidTr="00225E10">
        <w:tc>
          <w:tcPr>
            <w:tcW w:w="561" w:type="dxa"/>
          </w:tcPr>
          <w:p w14:paraId="3201A189" w14:textId="17368DDC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>3</w:t>
            </w:r>
          </w:p>
        </w:tc>
        <w:tc>
          <w:tcPr>
            <w:tcW w:w="2098" w:type="dxa"/>
          </w:tcPr>
          <w:p w14:paraId="039EC895" w14:textId="22ECEA2B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>Research Culture</w:t>
            </w:r>
          </w:p>
        </w:tc>
        <w:tc>
          <w:tcPr>
            <w:tcW w:w="5914" w:type="dxa"/>
          </w:tcPr>
          <w:p w14:paraId="46730B5A" w14:textId="77777777" w:rsidR="00DC4AB5" w:rsidRDefault="005F510E" w:rsidP="00FB5B36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We are very pleased </w:t>
            </w:r>
            <w:r w:rsidR="00E74863">
              <w:rPr>
                <w:rFonts w:asciiTheme="minorHAnsi" w:hAnsiTheme="minorHAnsi"/>
                <w:sz w:val="20"/>
                <w:szCs w:val="20"/>
              </w:rPr>
              <w:t>with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the scores here </w:t>
            </w:r>
            <w:r w:rsidR="00E74863">
              <w:rPr>
                <w:rFonts w:asciiTheme="minorHAnsi" w:hAnsiTheme="minorHAnsi"/>
                <w:sz w:val="20"/>
                <w:szCs w:val="20"/>
              </w:rPr>
              <w:t>(69-77%) which suggest significant satisfaction levels with</w:t>
            </w:r>
            <w:r w:rsidR="00C84EBB">
              <w:rPr>
                <w:rFonts w:asciiTheme="minorHAnsi" w:hAnsiTheme="minorHAnsi"/>
                <w:sz w:val="20"/>
                <w:szCs w:val="20"/>
              </w:rPr>
              <w:t xml:space="preserve"> the research culture in the School</w:t>
            </w:r>
            <w:r w:rsidR="008044F6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C84EBB">
              <w:rPr>
                <w:rFonts w:asciiTheme="minorHAnsi" w:hAnsiTheme="minorHAnsi"/>
                <w:sz w:val="20"/>
                <w:szCs w:val="20"/>
              </w:rPr>
              <w:t>including opportunities to discuss</w:t>
            </w:r>
            <w:r w:rsidR="00BE4121">
              <w:rPr>
                <w:rFonts w:asciiTheme="minorHAnsi" w:hAnsiTheme="minorHAnsi"/>
                <w:sz w:val="20"/>
                <w:szCs w:val="20"/>
              </w:rPr>
              <w:t xml:space="preserve"> their research with other research students. This suggests that the initiatives developed in the last 2-3 years </w:t>
            </w:r>
            <w:r w:rsidR="00EA0FB5">
              <w:rPr>
                <w:rFonts w:asciiTheme="minorHAnsi" w:hAnsiTheme="minorHAnsi"/>
                <w:sz w:val="20"/>
                <w:szCs w:val="20"/>
              </w:rPr>
              <w:t>by the Director of Doctoral Studies</w:t>
            </w:r>
            <w:r w:rsidR="00206CBA">
              <w:rPr>
                <w:rFonts w:asciiTheme="minorHAnsi" w:hAnsiTheme="minorHAnsi"/>
                <w:sz w:val="20"/>
                <w:szCs w:val="20"/>
              </w:rPr>
              <w:t xml:space="preserve"> (DDS)</w:t>
            </w:r>
            <w:r w:rsidR="00EA0FB5">
              <w:rPr>
                <w:rFonts w:asciiTheme="minorHAnsi" w:hAnsiTheme="minorHAnsi"/>
                <w:sz w:val="20"/>
                <w:szCs w:val="20"/>
              </w:rPr>
              <w:t>, including the monthly Research in Progress meetings</w:t>
            </w:r>
            <w:r w:rsidR="00FB5B36">
              <w:rPr>
                <w:rFonts w:asciiTheme="minorHAnsi" w:hAnsiTheme="minorHAnsi"/>
                <w:sz w:val="20"/>
                <w:szCs w:val="20"/>
              </w:rPr>
              <w:t xml:space="preserve">, and the social gatherings, are working very well. </w:t>
            </w:r>
          </w:p>
          <w:p w14:paraId="7D81BE5D" w14:textId="1037C451" w:rsidR="008E6B0F" w:rsidRPr="00FB5B36" w:rsidRDefault="00FB5B36" w:rsidP="00FB5B36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There </w:t>
            </w:r>
            <w:r w:rsidR="00206CBA">
              <w:rPr>
                <w:rFonts w:asciiTheme="minorHAnsi" w:hAnsiTheme="minorHAnsi"/>
                <w:sz w:val="20"/>
                <w:szCs w:val="20"/>
              </w:rPr>
              <w:t>are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‘continued’ action</w:t>
            </w:r>
            <w:r w:rsidR="00206CBA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planned here</w:t>
            </w:r>
            <w:r w:rsidR="00206CBA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the DDS will continue to host monthly </w:t>
            </w:r>
            <w:r w:rsidR="00206CBA">
              <w:rPr>
                <w:rFonts w:asciiTheme="minorHAnsi" w:hAnsiTheme="minorHAnsi"/>
                <w:sz w:val="20"/>
                <w:szCs w:val="20"/>
              </w:rPr>
              <w:t xml:space="preserve">Research in Progress meetings and to organise </w:t>
            </w:r>
            <w:r w:rsidR="008044F6">
              <w:rPr>
                <w:rFonts w:asciiTheme="minorHAnsi" w:hAnsiTheme="minorHAnsi"/>
                <w:sz w:val="20"/>
                <w:szCs w:val="20"/>
              </w:rPr>
              <w:t>social gatherings. The annual Postgraduate Research Symposium</w:t>
            </w:r>
            <w:r w:rsidR="00DC4AB5">
              <w:rPr>
                <w:rFonts w:asciiTheme="minorHAnsi" w:hAnsiTheme="minorHAnsi"/>
                <w:sz w:val="20"/>
                <w:szCs w:val="20"/>
              </w:rPr>
              <w:t>, now in its 12</w:t>
            </w:r>
            <w:r w:rsidR="00DC4AB5" w:rsidRPr="00DC4AB5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DC4AB5">
              <w:rPr>
                <w:rFonts w:asciiTheme="minorHAnsi" w:hAnsiTheme="minorHAnsi"/>
                <w:sz w:val="20"/>
                <w:szCs w:val="20"/>
              </w:rPr>
              <w:t xml:space="preserve"> year, also plays a key role here. </w:t>
            </w:r>
          </w:p>
        </w:tc>
        <w:tc>
          <w:tcPr>
            <w:tcW w:w="1412" w:type="dxa"/>
          </w:tcPr>
          <w:p w14:paraId="0BBFC135" w14:textId="77777777" w:rsidR="001C66E1" w:rsidRDefault="001C66E1" w:rsidP="008044F6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342297" w14:textId="77777777" w:rsidR="00DC4AB5" w:rsidRDefault="00DC4AB5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C83281" w14:textId="77777777" w:rsidR="00DC4AB5" w:rsidRDefault="00DC4AB5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6D299A" w14:textId="77777777" w:rsidR="00DC4AB5" w:rsidRDefault="00DC4AB5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603AB1" w14:textId="77777777" w:rsidR="00DC4AB5" w:rsidRDefault="00DC4AB5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6A9FE5" w14:textId="44E1D2C9" w:rsidR="00EA7A8F" w:rsidRDefault="00EA7A8F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DDS</w:t>
            </w:r>
          </w:p>
          <w:p w14:paraId="79B4FB63" w14:textId="77777777" w:rsidR="00EA7A8F" w:rsidRDefault="00EA7A8F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DDS</w:t>
            </w:r>
          </w:p>
          <w:p w14:paraId="7570E580" w14:textId="3FDBEDC7" w:rsidR="00EA7A8F" w:rsidRPr="00EA7A8F" w:rsidRDefault="00EA7A8F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DDS</w:t>
            </w:r>
          </w:p>
        </w:tc>
        <w:tc>
          <w:tcPr>
            <w:tcW w:w="1242" w:type="dxa"/>
          </w:tcPr>
          <w:p w14:paraId="7D0E094A" w14:textId="77777777" w:rsidR="00D97DCC" w:rsidRDefault="00D97DCC" w:rsidP="00D97DCC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49BF2B7F" w14:textId="08556E1A" w:rsidR="00D97DCC" w:rsidRDefault="002B2E8A" w:rsidP="00D97DCC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82074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(marked as 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‘</w:t>
            </w:r>
            <w:r w:rsidRPr="0082074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complete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’</w:t>
            </w:r>
            <w:r w:rsidRPr="00820748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as repeated /continued)</w:t>
            </w:r>
          </w:p>
          <w:p w14:paraId="4E91F92D" w14:textId="77777777" w:rsidR="00D97DCC" w:rsidRDefault="00D97DCC" w:rsidP="00D97DCC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1550A654" w14:textId="77777777" w:rsidR="00D97DCC" w:rsidRDefault="00D97DCC" w:rsidP="00D97DCC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57D33D85" w14:textId="77777777" w:rsidR="00D97DCC" w:rsidRDefault="00D97DCC" w:rsidP="00D97DCC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4A829E67" w14:textId="77777777" w:rsidR="002B2E8A" w:rsidRDefault="002B2E8A" w:rsidP="00D97DCC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0D197361" w14:textId="4AF23FB3" w:rsidR="00D97DCC" w:rsidRDefault="002B2E8A" w:rsidP="00D97DCC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6A72FD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Complete</w:t>
            </w:r>
          </w:p>
          <w:p w14:paraId="788CA6F7" w14:textId="6AEF1A9C" w:rsidR="002B2E8A" w:rsidRDefault="008740C1" w:rsidP="002B2E8A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6A72FD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Complete</w:t>
            </w:r>
          </w:p>
          <w:p w14:paraId="3A9386BF" w14:textId="77777777" w:rsidR="002B2E8A" w:rsidRDefault="002B2E8A" w:rsidP="002B2E8A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0721591D" w14:textId="55B1DE1E" w:rsidR="001C66E1" w:rsidRPr="002B2E8A" w:rsidRDefault="002B2E8A" w:rsidP="00820748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6A72FD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Complete</w:t>
            </w:r>
          </w:p>
        </w:tc>
      </w:tr>
      <w:tr w:rsidR="009B06DF" w14:paraId="39F2F3E6" w14:textId="77777777" w:rsidTr="00225E10">
        <w:tc>
          <w:tcPr>
            <w:tcW w:w="561" w:type="dxa"/>
          </w:tcPr>
          <w:p w14:paraId="0F7C8358" w14:textId="75E044C4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00FE9">
              <w:rPr>
                <w:rFonts w:asciiTheme="minorHAnsi" w:eastAsia="Arial" w:hAnsiTheme="minorHAnsi" w:cs="Arial"/>
                <w:b/>
                <w:sz w:val="22"/>
              </w:rPr>
              <w:t>4</w:t>
            </w:r>
          </w:p>
        </w:tc>
        <w:tc>
          <w:tcPr>
            <w:tcW w:w="2098" w:type="dxa"/>
          </w:tcPr>
          <w:p w14:paraId="36C78B87" w14:textId="37BB088B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 xml:space="preserve">Progress and Assessment </w:t>
            </w:r>
          </w:p>
        </w:tc>
        <w:tc>
          <w:tcPr>
            <w:tcW w:w="5914" w:type="dxa"/>
          </w:tcPr>
          <w:p w14:paraId="52591806" w14:textId="07CFC8EE" w:rsidR="00E165BA" w:rsidRDefault="004C2BF6" w:rsidP="00E165BA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C2BF6">
              <w:rPr>
                <w:rFonts w:asciiTheme="minorHAnsi" w:hAnsiTheme="minorHAnsi"/>
                <w:sz w:val="20"/>
                <w:szCs w:val="20"/>
              </w:rPr>
              <w:t xml:space="preserve">Satisfaction scores </w:t>
            </w:r>
            <w:r w:rsidR="004A1A52">
              <w:rPr>
                <w:rFonts w:asciiTheme="minorHAnsi" w:hAnsiTheme="minorHAnsi"/>
                <w:sz w:val="20"/>
                <w:szCs w:val="20"/>
              </w:rPr>
              <w:t xml:space="preserve">in this area </w:t>
            </w:r>
            <w:r w:rsidRPr="004C2BF6">
              <w:rPr>
                <w:rFonts w:asciiTheme="minorHAnsi" w:hAnsiTheme="minorHAnsi"/>
                <w:sz w:val="20"/>
                <w:szCs w:val="20"/>
              </w:rPr>
              <w:t xml:space="preserve">were </w:t>
            </w:r>
            <w:r w:rsidR="00E738BD">
              <w:rPr>
                <w:rFonts w:asciiTheme="minorHAnsi" w:hAnsiTheme="minorHAnsi"/>
                <w:sz w:val="20"/>
                <w:szCs w:val="20"/>
              </w:rPr>
              <w:t>75-83</w:t>
            </w:r>
            <w:r w:rsidRPr="004C2BF6">
              <w:rPr>
                <w:rFonts w:asciiTheme="minorHAnsi" w:hAnsiTheme="minorHAnsi"/>
                <w:sz w:val="20"/>
                <w:szCs w:val="20"/>
              </w:rPr>
              <w:t>%</w:t>
            </w:r>
            <w:r w:rsidR="009C7E90">
              <w:rPr>
                <w:rFonts w:asciiTheme="minorHAnsi" w:hAnsiTheme="minorHAnsi"/>
                <w:sz w:val="20"/>
                <w:szCs w:val="20"/>
              </w:rPr>
              <w:t xml:space="preserve"> and, based on these </w:t>
            </w:r>
            <w:r w:rsidR="00D64E26">
              <w:rPr>
                <w:rFonts w:asciiTheme="minorHAnsi" w:hAnsiTheme="minorHAnsi"/>
                <w:sz w:val="20"/>
                <w:szCs w:val="20"/>
              </w:rPr>
              <w:t>results,</w:t>
            </w:r>
            <w:r w:rsidR="009C7E90">
              <w:rPr>
                <w:rFonts w:asciiTheme="minorHAnsi" w:hAnsiTheme="minorHAnsi"/>
                <w:sz w:val="20"/>
                <w:szCs w:val="20"/>
              </w:rPr>
              <w:t xml:space="preserve"> we do not see a need for any actions in this domain. </w:t>
            </w:r>
          </w:p>
          <w:p w14:paraId="20409B9A" w14:textId="7C9A23BA" w:rsidR="008E6B0F" w:rsidRPr="004C2BF6" w:rsidRDefault="009C7E90" w:rsidP="00EE265A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However, </w:t>
            </w:r>
            <w:r w:rsidR="00D64E26">
              <w:rPr>
                <w:rFonts w:asciiTheme="minorHAnsi" w:hAnsiTheme="minorHAnsi"/>
                <w:sz w:val="20"/>
                <w:szCs w:val="20"/>
              </w:rPr>
              <w:t xml:space="preserve">given the new requirement of a mini-viva for 2023/2024 entrants and beyond, </w:t>
            </w:r>
            <w:r w:rsidR="00827431">
              <w:rPr>
                <w:rFonts w:asciiTheme="minorHAnsi" w:hAnsiTheme="minorHAnsi"/>
                <w:sz w:val="20"/>
                <w:szCs w:val="20"/>
              </w:rPr>
              <w:t xml:space="preserve">DDS is currently engaging with staff </w:t>
            </w:r>
            <w:r w:rsidR="000965B4">
              <w:rPr>
                <w:rFonts w:asciiTheme="minorHAnsi" w:hAnsiTheme="minorHAnsi"/>
                <w:sz w:val="20"/>
                <w:szCs w:val="20"/>
              </w:rPr>
              <w:t xml:space="preserve">to develop School guidelines (in conjunction with University and College requirements) and, once finalised, with </w:t>
            </w:r>
            <w:r w:rsidR="00B212A7">
              <w:rPr>
                <w:rFonts w:asciiTheme="minorHAnsi" w:hAnsiTheme="minorHAnsi"/>
                <w:sz w:val="20"/>
                <w:szCs w:val="20"/>
              </w:rPr>
              <w:t>hold an information session for all relevant students</w:t>
            </w:r>
            <w:r w:rsidR="00501F3E">
              <w:rPr>
                <w:rFonts w:asciiTheme="minorHAnsi" w:hAnsiTheme="minorHAnsi"/>
                <w:sz w:val="20"/>
                <w:szCs w:val="20"/>
              </w:rPr>
              <w:t xml:space="preserve"> to ensure they are all clear on </w:t>
            </w:r>
            <w:r w:rsidR="00E165BA">
              <w:rPr>
                <w:rFonts w:asciiTheme="minorHAnsi" w:hAnsiTheme="minorHAnsi"/>
                <w:sz w:val="20"/>
                <w:szCs w:val="20"/>
              </w:rPr>
              <w:t xml:space="preserve">requirements and guidelines. </w:t>
            </w:r>
          </w:p>
        </w:tc>
        <w:tc>
          <w:tcPr>
            <w:tcW w:w="1412" w:type="dxa"/>
          </w:tcPr>
          <w:p w14:paraId="3D769424" w14:textId="77777777" w:rsidR="00EA7A8F" w:rsidRDefault="00EA7A8F" w:rsidP="00827431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05F232" w14:textId="77777777" w:rsidR="00501F3E" w:rsidRDefault="00501F3E" w:rsidP="00EA7A8F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5CE072" w14:textId="77777777" w:rsidR="00EA7A8F" w:rsidRDefault="00EA7A8F" w:rsidP="00EA7A8F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DSS</w:t>
            </w:r>
          </w:p>
          <w:p w14:paraId="699E2973" w14:textId="6430D67A" w:rsidR="00501F3E" w:rsidRPr="00EA7A8F" w:rsidRDefault="00501F3E" w:rsidP="00EA7A8F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DSS</w:t>
            </w:r>
          </w:p>
        </w:tc>
        <w:tc>
          <w:tcPr>
            <w:tcW w:w="1242" w:type="dxa"/>
          </w:tcPr>
          <w:p w14:paraId="75402F52" w14:textId="77777777" w:rsidR="00BF57D4" w:rsidRDefault="00BF57D4" w:rsidP="002A637C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</w:p>
          <w:p w14:paraId="5201D910" w14:textId="77777777" w:rsidR="00E165BA" w:rsidRDefault="00E165BA" w:rsidP="008E53DA">
            <w:pPr>
              <w:pStyle w:val="NoSpacing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691208BB" w14:textId="77777777" w:rsidR="00E165BA" w:rsidRDefault="00E165BA" w:rsidP="00E165BA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</w:p>
          <w:p w14:paraId="5324D1F8" w14:textId="77777777" w:rsidR="00E165BA" w:rsidRDefault="00E165BA" w:rsidP="00E165BA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</w:p>
          <w:p w14:paraId="00CCF5C3" w14:textId="73E5D4E2" w:rsidR="00E165BA" w:rsidRDefault="00E165BA" w:rsidP="00E165BA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  <w:r w:rsidRPr="00EA7A8F"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  <w:t>*In Progress</w:t>
            </w:r>
          </w:p>
          <w:p w14:paraId="03C4A366" w14:textId="77777777" w:rsidR="002B2E8A" w:rsidRDefault="002B2E8A" w:rsidP="002B2E8A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  <w:r w:rsidRPr="00EA7A8F"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  <w:t>*In Progress</w:t>
            </w:r>
          </w:p>
          <w:p w14:paraId="5E58694F" w14:textId="77777777" w:rsidR="00E165BA" w:rsidRDefault="00E165BA" w:rsidP="008E53DA">
            <w:pPr>
              <w:pStyle w:val="NoSpacing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17464DAD" w14:textId="77777777" w:rsidR="00BF57D4" w:rsidRDefault="00BF57D4" w:rsidP="00E165BA">
            <w:pPr>
              <w:pStyle w:val="NoSpacing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</w:p>
          <w:p w14:paraId="73A91E0E" w14:textId="358E0EE7" w:rsidR="001C66E1" w:rsidRPr="00BF57D4" w:rsidRDefault="001C66E1" w:rsidP="00BF57D4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</w:tr>
      <w:tr w:rsidR="009B06DF" w14:paraId="60CD8517" w14:textId="77777777" w:rsidTr="00225E10">
        <w:tc>
          <w:tcPr>
            <w:tcW w:w="561" w:type="dxa"/>
          </w:tcPr>
          <w:p w14:paraId="6BF01CD1" w14:textId="4777B638" w:rsidR="004C2BF6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00FE9">
              <w:rPr>
                <w:rFonts w:asciiTheme="minorHAnsi" w:eastAsia="Arial" w:hAnsiTheme="minorHAnsi" w:cs="Arial"/>
                <w:b/>
                <w:sz w:val="22"/>
              </w:rPr>
              <w:lastRenderedPageBreak/>
              <w:t>5</w:t>
            </w:r>
          </w:p>
        </w:tc>
        <w:tc>
          <w:tcPr>
            <w:tcW w:w="2098" w:type="dxa"/>
          </w:tcPr>
          <w:p w14:paraId="758E6B8B" w14:textId="56966DA4" w:rsidR="004C2BF6" w:rsidRPr="001C66E1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 xml:space="preserve">Research Skills </w:t>
            </w:r>
          </w:p>
        </w:tc>
        <w:tc>
          <w:tcPr>
            <w:tcW w:w="5914" w:type="dxa"/>
          </w:tcPr>
          <w:p w14:paraId="73C0A9CE" w14:textId="77C3B074" w:rsidR="008E6B0F" w:rsidRPr="004C2BF6" w:rsidRDefault="00CC26C6" w:rsidP="0063540D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C2BF6">
              <w:rPr>
                <w:rFonts w:asciiTheme="minorHAnsi" w:hAnsiTheme="minorHAnsi"/>
                <w:sz w:val="20"/>
                <w:szCs w:val="20"/>
              </w:rPr>
              <w:t xml:space="preserve">Satisfaction scores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this area </w:t>
            </w:r>
            <w:r w:rsidRPr="004C2BF6">
              <w:rPr>
                <w:rFonts w:asciiTheme="minorHAnsi" w:hAnsiTheme="minorHAnsi"/>
                <w:sz w:val="20"/>
                <w:szCs w:val="20"/>
              </w:rPr>
              <w:t xml:space="preserve">were </w:t>
            </w:r>
            <w:r>
              <w:rPr>
                <w:rFonts w:asciiTheme="minorHAnsi" w:hAnsiTheme="minorHAnsi"/>
                <w:sz w:val="20"/>
                <w:szCs w:val="20"/>
              </w:rPr>
              <w:t>83-100</w:t>
            </w:r>
            <w:r w:rsidRPr="004C2BF6">
              <w:rPr>
                <w:rFonts w:asciiTheme="minorHAnsi" w:hAnsiTheme="minorHAnsi"/>
                <w:sz w:val="20"/>
                <w:szCs w:val="20"/>
              </w:rPr>
              <w:t>%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and, based on these results, we do not see a need for any actions in this domain</w:t>
            </w:r>
            <w:r w:rsidR="00A9332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14:paraId="413F3CD8" w14:textId="1A4A98A9" w:rsidR="004C2BF6" w:rsidRPr="00EA7A8F" w:rsidRDefault="00CC26C6" w:rsidP="00CC26C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A7A8F"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242" w:type="dxa"/>
          </w:tcPr>
          <w:p w14:paraId="5F84D6A8" w14:textId="3ACF3A27" w:rsidR="002A637C" w:rsidRDefault="00CC26C6" w:rsidP="00CC26C6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EA7A8F"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  <w:p w14:paraId="57C4F557" w14:textId="77777777" w:rsidR="002A637C" w:rsidRDefault="002A637C" w:rsidP="00CC26C6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320E11CC" w14:textId="77777777" w:rsidR="004C2BF6" w:rsidRPr="00EA7A8F" w:rsidRDefault="004C2BF6" w:rsidP="00CC26C6">
            <w:pPr>
              <w:pStyle w:val="NoSpacing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B06DF" w14:paraId="0AACB38E" w14:textId="77777777" w:rsidTr="00225E10">
        <w:tc>
          <w:tcPr>
            <w:tcW w:w="561" w:type="dxa"/>
          </w:tcPr>
          <w:p w14:paraId="56B07445" w14:textId="1E70F540" w:rsidR="004C2BF6" w:rsidRPr="00300FE9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 w:rsidRPr="00300FE9">
              <w:rPr>
                <w:rFonts w:asciiTheme="minorHAnsi" w:eastAsia="Arial" w:hAnsiTheme="minorHAnsi" w:cs="Arial"/>
                <w:b/>
                <w:sz w:val="22"/>
              </w:rPr>
              <w:t>6</w:t>
            </w:r>
          </w:p>
        </w:tc>
        <w:tc>
          <w:tcPr>
            <w:tcW w:w="2098" w:type="dxa"/>
          </w:tcPr>
          <w:p w14:paraId="4A695EF2" w14:textId="6E7D6799" w:rsidR="004C2BF6" w:rsidRPr="001C66E1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>Other Transferable Skills</w:t>
            </w:r>
          </w:p>
        </w:tc>
        <w:tc>
          <w:tcPr>
            <w:tcW w:w="5914" w:type="dxa"/>
          </w:tcPr>
          <w:p w14:paraId="476C48A0" w14:textId="2736876A" w:rsidR="004C2BF6" w:rsidRPr="004C2BF6" w:rsidRDefault="00861BDD" w:rsidP="004C2BF6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C2BF6">
              <w:rPr>
                <w:rFonts w:asciiTheme="minorHAnsi" w:hAnsiTheme="minorHAnsi"/>
                <w:sz w:val="20"/>
                <w:szCs w:val="20"/>
              </w:rPr>
              <w:t xml:space="preserve">Satisfaction scores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this area </w:t>
            </w:r>
            <w:r w:rsidRPr="004C2BF6">
              <w:rPr>
                <w:rFonts w:asciiTheme="minorHAnsi" w:hAnsiTheme="minorHAnsi"/>
                <w:sz w:val="20"/>
                <w:szCs w:val="20"/>
              </w:rPr>
              <w:t xml:space="preserve">were </w:t>
            </w:r>
            <w:r>
              <w:rPr>
                <w:rFonts w:asciiTheme="minorHAnsi" w:hAnsiTheme="minorHAnsi"/>
                <w:sz w:val="20"/>
                <w:szCs w:val="20"/>
              </w:rPr>
              <w:t>75-92</w:t>
            </w:r>
            <w:r w:rsidRPr="004C2BF6">
              <w:rPr>
                <w:rFonts w:asciiTheme="minorHAnsi" w:hAnsiTheme="minorHAnsi"/>
                <w:sz w:val="20"/>
                <w:szCs w:val="20"/>
              </w:rPr>
              <w:t>%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and, based on these results, we do not see a need for </w:t>
            </w:r>
            <w:r w:rsidR="001107FA">
              <w:rPr>
                <w:rFonts w:asciiTheme="minorHAnsi" w:hAnsiTheme="minorHAnsi"/>
                <w:sz w:val="20"/>
                <w:szCs w:val="20"/>
              </w:rPr>
              <w:t>many actions in this domain. However, the item rela</w:t>
            </w:r>
            <w:r w:rsidR="00D919CB">
              <w:rPr>
                <w:rFonts w:asciiTheme="minorHAnsi" w:hAnsiTheme="minorHAnsi"/>
                <w:sz w:val="20"/>
                <w:szCs w:val="20"/>
              </w:rPr>
              <w:t>ting</w:t>
            </w:r>
            <w:r w:rsidR="001107FA">
              <w:rPr>
                <w:rFonts w:asciiTheme="minorHAnsi" w:hAnsiTheme="minorHAnsi"/>
                <w:sz w:val="20"/>
                <w:szCs w:val="20"/>
              </w:rPr>
              <w:t xml:space="preserve"> to developing contacts and professional networks</w:t>
            </w:r>
            <w:r w:rsidR="00D919CB">
              <w:rPr>
                <w:rFonts w:asciiTheme="minorHAnsi" w:hAnsiTheme="minorHAnsi"/>
                <w:sz w:val="20"/>
                <w:szCs w:val="20"/>
              </w:rPr>
              <w:t xml:space="preserve"> was at 75% satisfaction</w:t>
            </w:r>
            <w:r w:rsidR="001107FA">
              <w:rPr>
                <w:rFonts w:asciiTheme="minorHAnsi" w:hAnsiTheme="minorHAnsi"/>
                <w:sz w:val="20"/>
                <w:szCs w:val="20"/>
              </w:rPr>
              <w:t xml:space="preserve">. It would be good to see this improve further. The DDS will liaise with supervisors about this item and encourage them to more directly </w:t>
            </w:r>
            <w:r w:rsidR="00AF1893">
              <w:rPr>
                <w:rFonts w:asciiTheme="minorHAnsi" w:hAnsiTheme="minorHAnsi"/>
                <w:sz w:val="20"/>
                <w:szCs w:val="20"/>
              </w:rPr>
              <w:t xml:space="preserve">facilitate the development of professional networks </w:t>
            </w:r>
            <w:r w:rsidR="00A4446A">
              <w:rPr>
                <w:rFonts w:asciiTheme="minorHAnsi" w:hAnsiTheme="minorHAnsi"/>
                <w:sz w:val="20"/>
                <w:szCs w:val="20"/>
              </w:rPr>
              <w:t xml:space="preserve">amongst their PhD students. </w:t>
            </w:r>
          </w:p>
        </w:tc>
        <w:tc>
          <w:tcPr>
            <w:tcW w:w="1412" w:type="dxa"/>
          </w:tcPr>
          <w:p w14:paraId="3DFD1799" w14:textId="77777777" w:rsidR="004C2BF6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DF94E0B" w14:textId="77777777" w:rsidR="00A4446A" w:rsidRDefault="00A4446A" w:rsidP="00D919CB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2AEC62" w14:textId="63847206" w:rsidR="00A4446A" w:rsidRPr="00EA7A8F" w:rsidRDefault="00A4446A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DDS &amp; Supervisors </w:t>
            </w:r>
          </w:p>
        </w:tc>
        <w:tc>
          <w:tcPr>
            <w:tcW w:w="1242" w:type="dxa"/>
          </w:tcPr>
          <w:p w14:paraId="72F81AA3" w14:textId="77777777" w:rsidR="004C2BF6" w:rsidRDefault="004C2BF6" w:rsidP="00A4446A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6F846C" w14:textId="77777777" w:rsidR="00A4446A" w:rsidRDefault="00A4446A" w:rsidP="00A4446A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37D36B" w14:textId="77777777" w:rsidR="00A4446A" w:rsidRDefault="00A4446A" w:rsidP="00A4446A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  <w:r w:rsidRPr="00EA7A8F"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  <w:t>*In Progress</w:t>
            </w:r>
          </w:p>
          <w:p w14:paraId="29BB1F4E" w14:textId="7F431DD8" w:rsidR="00A4446A" w:rsidRPr="00EA7A8F" w:rsidRDefault="00A4446A" w:rsidP="00A4446A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B06DF" w14:paraId="205527EC" w14:textId="77777777" w:rsidTr="00225E10">
        <w:tc>
          <w:tcPr>
            <w:tcW w:w="561" w:type="dxa"/>
          </w:tcPr>
          <w:p w14:paraId="28D147E0" w14:textId="7DE94247" w:rsidR="004C2BF6" w:rsidRPr="00300FE9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>7</w:t>
            </w:r>
          </w:p>
        </w:tc>
        <w:tc>
          <w:tcPr>
            <w:tcW w:w="2098" w:type="dxa"/>
          </w:tcPr>
          <w:p w14:paraId="7FBF2307" w14:textId="78A08ACF" w:rsidR="004C2BF6" w:rsidRPr="001C66E1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>Responsibilities and Supports</w:t>
            </w:r>
          </w:p>
        </w:tc>
        <w:tc>
          <w:tcPr>
            <w:tcW w:w="5914" w:type="dxa"/>
          </w:tcPr>
          <w:p w14:paraId="7E3EC9BC" w14:textId="54258774" w:rsidR="0013470D" w:rsidRDefault="00EE1EDE" w:rsidP="004B2277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Scores here were at 100% for the first three items, so no actions are planned in relation to these. </w:t>
            </w:r>
          </w:p>
          <w:p w14:paraId="7D72A004" w14:textId="51343645" w:rsidR="003471F4" w:rsidRDefault="0077173C" w:rsidP="004B2277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Awareness of student supports</w:t>
            </w:r>
            <w:r w:rsidR="00C359E8">
              <w:rPr>
                <w:rFonts w:asciiTheme="minorHAnsi" w:hAnsiTheme="minorHAnsi"/>
                <w:sz w:val="20"/>
                <w:szCs w:val="20"/>
              </w:rPr>
              <w:t xml:space="preserve"> at university level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was reported at N</w:t>
            </w:r>
            <w:r w:rsidR="007F61F2">
              <w:rPr>
                <w:rFonts w:asciiTheme="minorHAnsi" w:hAnsiTheme="minorHAnsi"/>
                <w:sz w:val="20"/>
                <w:szCs w:val="20"/>
              </w:rPr>
              <w:t>&lt;5</w:t>
            </w:r>
            <w:r w:rsidR="00097D5C">
              <w:rPr>
                <w:rFonts w:asciiTheme="minorHAnsi" w:hAnsiTheme="minorHAnsi"/>
                <w:sz w:val="20"/>
                <w:szCs w:val="20"/>
              </w:rPr>
              <w:t xml:space="preserve"> so it would appear that this requires attention. Information was made available on all these supports to students via B</w:t>
            </w:r>
            <w:r w:rsidR="001B7DEF">
              <w:rPr>
                <w:rFonts w:asciiTheme="minorHAnsi" w:hAnsiTheme="minorHAnsi"/>
                <w:sz w:val="20"/>
                <w:szCs w:val="20"/>
              </w:rPr>
              <w:t>lackboard</w:t>
            </w:r>
            <w:r w:rsidR="009B06DF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0F7592">
              <w:rPr>
                <w:rFonts w:asciiTheme="minorHAnsi" w:hAnsiTheme="minorHAnsi"/>
                <w:sz w:val="20"/>
                <w:szCs w:val="20"/>
              </w:rPr>
              <w:t>has</w:t>
            </w:r>
            <w:r w:rsidR="009B06DF">
              <w:rPr>
                <w:rFonts w:asciiTheme="minorHAnsi" w:hAnsiTheme="minorHAnsi"/>
                <w:sz w:val="20"/>
                <w:szCs w:val="20"/>
              </w:rPr>
              <w:t xml:space="preserve"> now also be</w:t>
            </w:r>
            <w:r w:rsidR="000F7592">
              <w:rPr>
                <w:rFonts w:asciiTheme="minorHAnsi" w:hAnsiTheme="minorHAnsi"/>
                <w:sz w:val="20"/>
                <w:szCs w:val="20"/>
              </w:rPr>
              <w:t>en</w:t>
            </w:r>
            <w:r w:rsidR="009B06DF">
              <w:rPr>
                <w:rFonts w:asciiTheme="minorHAnsi" w:hAnsiTheme="minorHAnsi"/>
                <w:sz w:val="20"/>
                <w:szCs w:val="20"/>
              </w:rPr>
              <w:t xml:space="preserve"> transferred to Canvas for the two first year </w:t>
            </w:r>
            <w:r w:rsidR="002A61D5">
              <w:rPr>
                <w:rFonts w:asciiTheme="minorHAnsi" w:hAnsiTheme="minorHAnsi"/>
                <w:sz w:val="20"/>
                <w:szCs w:val="20"/>
              </w:rPr>
              <w:t xml:space="preserve">Structured PhD </w:t>
            </w:r>
            <w:r w:rsidR="009B06DF">
              <w:rPr>
                <w:rFonts w:asciiTheme="minorHAnsi" w:hAnsiTheme="minorHAnsi"/>
                <w:sz w:val="20"/>
                <w:szCs w:val="20"/>
              </w:rPr>
              <w:t>modules</w:t>
            </w:r>
            <w:r w:rsidR="002A61D5">
              <w:rPr>
                <w:rFonts w:asciiTheme="minorHAnsi" w:hAnsiTheme="minorHAnsi"/>
                <w:sz w:val="20"/>
                <w:szCs w:val="20"/>
              </w:rPr>
              <w:t xml:space="preserve"> (ED6167 and ED6182)</w:t>
            </w:r>
            <w:r w:rsidR="009B06DF">
              <w:rPr>
                <w:rFonts w:asciiTheme="minorHAnsi" w:hAnsiTheme="minorHAnsi"/>
                <w:sz w:val="20"/>
                <w:szCs w:val="20"/>
              </w:rPr>
              <w:t xml:space="preserve">. This information </w:t>
            </w:r>
            <w:r w:rsidR="000F7592">
              <w:rPr>
                <w:rFonts w:asciiTheme="minorHAnsi" w:hAnsiTheme="minorHAnsi"/>
                <w:sz w:val="20"/>
                <w:szCs w:val="20"/>
              </w:rPr>
              <w:t>has also</w:t>
            </w:r>
            <w:r w:rsidR="009B06DF">
              <w:rPr>
                <w:rFonts w:asciiTheme="minorHAnsi" w:hAnsiTheme="minorHAnsi"/>
                <w:sz w:val="20"/>
                <w:szCs w:val="20"/>
              </w:rPr>
              <w:t xml:space="preserve"> be</w:t>
            </w:r>
            <w:r w:rsidR="000F7592">
              <w:rPr>
                <w:rFonts w:asciiTheme="minorHAnsi" w:hAnsiTheme="minorHAnsi"/>
                <w:sz w:val="20"/>
                <w:szCs w:val="20"/>
              </w:rPr>
              <w:t>en</w:t>
            </w:r>
            <w:r w:rsidR="009B06DF">
              <w:rPr>
                <w:rFonts w:asciiTheme="minorHAnsi" w:hAnsiTheme="minorHAnsi"/>
                <w:sz w:val="20"/>
                <w:szCs w:val="20"/>
              </w:rPr>
              <w:t xml:space="preserve"> emailed to all PhD students to ensure those not currently enrolled in Structured PhD modules also receive the information. </w:t>
            </w:r>
          </w:p>
          <w:p w14:paraId="62AFCEC2" w14:textId="748D59C9" w:rsidR="00E17D81" w:rsidRPr="009B06DF" w:rsidRDefault="003471F4" w:rsidP="009B06DF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For the item relating to perceptions of the extent to which the institution </w:t>
            </w:r>
            <w:r w:rsidR="00FD383D">
              <w:rPr>
                <w:rFonts w:asciiTheme="minorHAnsi" w:hAnsiTheme="minorHAnsi"/>
                <w:sz w:val="20"/>
                <w:szCs w:val="20"/>
              </w:rPr>
              <w:t>values and responds to feedback from research students (</w:t>
            </w:r>
            <w:r w:rsidR="0013470D">
              <w:rPr>
                <w:rFonts w:asciiTheme="minorHAnsi" w:hAnsiTheme="minorHAnsi"/>
                <w:sz w:val="20"/>
                <w:szCs w:val="20"/>
              </w:rPr>
              <w:t xml:space="preserve">67%), the DDS will share a list of actions with PhD students via email. </w:t>
            </w:r>
          </w:p>
        </w:tc>
        <w:tc>
          <w:tcPr>
            <w:tcW w:w="1412" w:type="dxa"/>
          </w:tcPr>
          <w:p w14:paraId="2D28EC78" w14:textId="77777777" w:rsidR="00E17D81" w:rsidRPr="00EA7A8F" w:rsidRDefault="00E17D81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440104B" w14:textId="77777777" w:rsidR="00EA7A8F" w:rsidRDefault="00EA7A8F" w:rsidP="00EA7A8F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B08A7C" w14:textId="77777777" w:rsidR="002A61D5" w:rsidRDefault="002A61D5" w:rsidP="00EA7A8F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DF47EFA" w14:textId="023F4116" w:rsidR="00EA7A8F" w:rsidRDefault="00EA7A8F" w:rsidP="00EA7A8F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DDS</w:t>
            </w:r>
          </w:p>
          <w:p w14:paraId="7E88D055" w14:textId="3CFD44AC" w:rsidR="002A61D5" w:rsidRDefault="002A61D5" w:rsidP="00EA7A8F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DDS</w:t>
            </w:r>
          </w:p>
          <w:p w14:paraId="2D2BA4ED" w14:textId="77777777" w:rsidR="0013470D" w:rsidRDefault="0013470D" w:rsidP="00EA7A8F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347F7F" w14:textId="77777777" w:rsidR="002A61D5" w:rsidRDefault="002A61D5" w:rsidP="00EA7A8F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9BD533" w14:textId="3C731B08" w:rsidR="00E17D81" w:rsidRPr="00EA7A8F" w:rsidRDefault="00EA7A8F" w:rsidP="00EA7A8F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</w:t>
            </w:r>
            <w:r w:rsidR="0013470D">
              <w:rPr>
                <w:rFonts w:asciiTheme="minorHAnsi" w:hAnsiTheme="minorHAnsi"/>
                <w:b/>
                <w:sz w:val="20"/>
                <w:szCs w:val="20"/>
              </w:rPr>
              <w:t>DS</w:t>
            </w:r>
          </w:p>
        </w:tc>
        <w:tc>
          <w:tcPr>
            <w:tcW w:w="1242" w:type="dxa"/>
          </w:tcPr>
          <w:p w14:paraId="2339BC81" w14:textId="77777777" w:rsidR="00CB7E6E" w:rsidRDefault="00CB7E6E" w:rsidP="004B2277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</w:p>
          <w:p w14:paraId="7AA28ED3" w14:textId="77777777" w:rsidR="00CB7E6E" w:rsidRDefault="00CB7E6E" w:rsidP="004B2277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</w:p>
          <w:p w14:paraId="0E4062A3" w14:textId="77777777" w:rsidR="008740C1" w:rsidRDefault="008740C1" w:rsidP="008740C1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1F5AB2C8" w14:textId="77777777" w:rsidR="000F7592" w:rsidRDefault="000F7592" w:rsidP="008740C1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3063EBE8" w14:textId="77777777" w:rsidR="000F7592" w:rsidRDefault="000F7592" w:rsidP="008740C1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716C8E69" w14:textId="7150D349" w:rsidR="0038538C" w:rsidRPr="001C2262" w:rsidRDefault="002A637C" w:rsidP="002A637C">
            <w:pPr>
              <w:pStyle w:val="NoSpacing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1C2262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*</w:t>
            </w:r>
            <w:r w:rsidR="000F7592" w:rsidRPr="001C2262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Complete March 2024</w:t>
            </w:r>
          </w:p>
          <w:p w14:paraId="47EDFCE8" w14:textId="77777777" w:rsidR="000F7592" w:rsidRPr="001C2262" w:rsidRDefault="000F7592" w:rsidP="002A637C">
            <w:pPr>
              <w:pStyle w:val="NoSpacing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100C2EC5" w14:textId="77777777" w:rsidR="000F7592" w:rsidRPr="001C2262" w:rsidRDefault="000F7592" w:rsidP="000F7592">
            <w:pPr>
              <w:pStyle w:val="NoSpacing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1C2262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*Complete March 2024</w:t>
            </w:r>
          </w:p>
          <w:p w14:paraId="59F79AF2" w14:textId="77777777" w:rsidR="0038538C" w:rsidRPr="0038538C" w:rsidRDefault="0038538C" w:rsidP="002A637C">
            <w:pPr>
              <w:pStyle w:val="NoSpacing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  <w:highlight w:val="yellow"/>
              </w:rPr>
            </w:pPr>
          </w:p>
          <w:p w14:paraId="1D15A907" w14:textId="77777777" w:rsidR="0038538C" w:rsidRPr="0038538C" w:rsidRDefault="0038538C" w:rsidP="002A637C">
            <w:pPr>
              <w:pStyle w:val="NoSpacing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  <w:highlight w:val="yellow"/>
              </w:rPr>
            </w:pPr>
          </w:p>
          <w:p w14:paraId="045DDEDA" w14:textId="0BE4329F" w:rsidR="000F7592" w:rsidRPr="005D573A" w:rsidRDefault="000F7592" w:rsidP="000F7592">
            <w:pPr>
              <w:pStyle w:val="NoSpacing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  <w:r w:rsidRPr="005D573A"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  <w:t>*</w:t>
            </w:r>
            <w:r w:rsidR="001C2262" w:rsidRPr="005D573A"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  <w:t xml:space="preserve">In progress </w:t>
            </w:r>
          </w:p>
          <w:p w14:paraId="2E4ECE82" w14:textId="4C8A7408" w:rsidR="004C2BF6" w:rsidRPr="002A637C" w:rsidRDefault="008740C1" w:rsidP="000F7592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9B06DF" w14:paraId="5906EF50" w14:textId="77777777" w:rsidTr="00225E10">
        <w:tc>
          <w:tcPr>
            <w:tcW w:w="561" w:type="dxa"/>
          </w:tcPr>
          <w:p w14:paraId="0ECD83BB" w14:textId="7A17B1FE" w:rsidR="004C2BF6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>8</w:t>
            </w:r>
          </w:p>
        </w:tc>
        <w:tc>
          <w:tcPr>
            <w:tcW w:w="2098" w:type="dxa"/>
          </w:tcPr>
          <w:p w14:paraId="7D435E6B" w14:textId="7A14469F" w:rsidR="004C2BF6" w:rsidRPr="001C66E1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>Personal Outlook</w:t>
            </w:r>
          </w:p>
        </w:tc>
        <w:tc>
          <w:tcPr>
            <w:tcW w:w="5914" w:type="dxa"/>
          </w:tcPr>
          <w:p w14:paraId="5441F246" w14:textId="77777777" w:rsidR="0044337E" w:rsidRDefault="00B262F4" w:rsidP="00E17D81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With scores here from 75-92%, we do not foresee many necessary actions in this domain. </w:t>
            </w:r>
          </w:p>
          <w:p w14:paraId="1C8A25A3" w14:textId="340B855F" w:rsidR="00E17D81" w:rsidRPr="00E17D81" w:rsidRDefault="00B262F4" w:rsidP="00E17D81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One necessary, however, relates to </w:t>
            </w:r>
            <w:r w:rsidR="006C4E7C">
              <w:rPr>
                <w:rFonts w:asciiTheme="minorHAnsi" w:hAnsiTheme="minorHAnsi"/>
                <w:sz w:val="20"/>
                <w:szCs w:val="20"/>
              </w:rPr>
              <w:t>satisfaction with work-life balance (50% were satisfied)</w:t>
            </w:r>
            <w:r w:rsidR="0044337E">
              <w:rPr>
                <w:rFonts w:asciiTheme="minorHAnsi" w:hAnsiTheme="minorHAnsi"/>
                <w:sz w:val="20"/>
                <w:szCs w:val="20"/>
              </w:rPr>
              <w:t xml:space="preserve">. The DDS will discuss this with supervisors and supervisors will be asked to </w:t>
            </w:r>
            <w:r w:rsidR="00BC4114">
              <w:rPr>
                <w:rFonts w:asciiTheme="minorHAnsi" w:hAnsiTheme="minorHAnsi"/>
                <w:sz w:val="20"/>
                <w:szCs w:val="20"/>
              </w:rPr>
              <w:t>discuss th</w:t>
            </w:r>
            <w:r w:rsidR="000B02AE">
              <w:rPr>
                <w:rFonts w:asciiTheme="minorHAnsi" w:hAnsiTheme="minorHAnsi"/>
                <w:sz w:val="20"/>
                <w:szCs w:val="20"/>
              </w:rPr>
              <w:t>e</w:t>
            </w:r>
            <w:r w:rsidR="00BC4114">
              <w:rPr>
                <w:rFonts w:asciiTheme="minorHAnsi" w:hAnsiTheme="minorHAnsi"/>
                <w:sz w:val="20"/>
                <w:szCs w:val="20"/>
              </w:rPr>
              <w:t xml:space="preserve"> issue with their students to ascertain wha</w:t>
            </w:r>
            <w:r w:rsidR="00C16BB1">
              <w:rPr>
                <w:rFonts w:asciiTheme="minorHAnsi" w:hAnsiTheme="minorHAnsi"/>
                <w:sz w:val="20"/>
                <w:szCs w:val="20"/>
              </w:rPr>
              <w:t xml:space="preserve">t key factor is leading to </w:t>
            </w:r>
            <w:r w:rsidR="000B02AE">
              <w:rPr>
                <w:rFonts w:asciiTheme="minorHAnsi" w:hAnsiTheme="minorHAnsi"/>
                <w:sz w:val="20"/>
                <w:szCs w:val="20"/>
              </w:rPr>
              <w:t>the</w:t>
            </w:r>
            <w:r w:rsidR="00C16BB1">
              <w:rPr>
                <w:rFonts w:asciiTheme="minorHAnsi" w:hAnsiTheme="minorHAnsi"/>
                <w:sz w:val="20"/>
                <w:szCs w:val="20"/>
              </w:rPr>
              <w:t xml:space="preserve"> imbalance and </w:t>
            </w:r>
            <w:r w:rsidR="000B02AE">
              <w:rPr>
                <w:rFonts w:asciiTheme="minorHAnsi" w:hAnsiTheme="minorHAnsi"/>
                <w:sz w:val="20"/>
                <w:szCs w:val="20"/>
              </w:rPr>
              <w:t xml:space="preserve">to explore </w:t>
            </w:r>
            <w:r w:rsidR="00C16BB1">
              <w:rPr>
                <w:rFonts w:asciiTheme="minorHAnsi" w:hAnsiTheme="minorHAnsi"/>
                <w:sz w:val="20"/>
                <w:szCs w:val="20"/>
              </w:rPr>
              <w:t xml:space="preserve">some strategies to try to address it. However, this may be challenging; we are aware, for example, that unfunded </w:t>
            </w:r>
            <w:r w:rsidR="005D573A">
              <w:rPr>
                <w:rFonts w:asciiTheme="minorHAnsi" w:hAnsiTheme="minorHAnsi"/>
                <w:sz w:val="20"/>
                <w:szCs w:val="20"/>
              </w:rPr>
              <w:t>PhDs</w:t>
            </w:r>
            <w:r w:rsidR="00C16BB1">
              <w:rPr>
                <w:rFonts w:asciiTheme="minorHAnsi" w:hAnsiTheme="minorHAnsi"/>
                <w:sz w:val="20"/>
                <w:szCs w:val="20"/>
              </w:rPr>
              <w:t xml:space="preserve"> are under pressure to work long hours, as well as completing their research, which results in work-life balance stress. Additionally, many School PhDs are working FT and doing a PhD PT which makes work-life balance very challenging. </w:t>
            </w:r>
            <w:r w:rsidR="00E17D81" w:rsidRPr="00E17D8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14:paraId="234DBA9A" w14:textId="77777777" w:rsidR="006A72FD" w:rsidRDefault="006A72FD" w:rsidP="006A72FD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E5D0BF3" w14:textId="77777777" w:rsidR="00C16BB1" w:rsidRDefault="00C16BB1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436C160" w14:textId="1019DE12" w:rsidR="00C16BB1" w:rsidRDefault="00C16BB1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DDS</w:t>
            </w:r>
          </w:p>
          <w:p w14:paraId="7AD28DF1" w14:textId="22A021A0" w:rsidR="004C2BF6" w:rsidRPr="00EA7A8F" w:rsidRDefault="00E17D81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A7A8F">
              <w:rPr>
                <w:rFonts w:asciiTheme="minorHAnsi" w:hAnsiTheme="minorHAnsi"/>
                <w:b/>
                <w:sz w:val="20"/>
                <w:szCs w:val="20"/>
              </w:rPr>
              <w:t>All SoE PhD supervisors</w:t>
            </w:r>
          </w:p>
        </w:tc>
        <w:tc>
          <w:tcPr>
            <w:tcW w:w="1242" w:type="dxa"/>
          </w:tcPr>
          <w:p w14:paraId="7328A253" w14:textId="77777777" w:rsidR="008E53DA" w:rsidRDefault="008E53DA" w:rsidP="00E17D81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</w:p>
          <w:p w14:paraId="3D1C5AE2" w14:textId="77777777" w:rsidR="00C16BB1" w:rsidRDefault="00C16BB1" w:rsidP="006A72FD">
            <w:pPr>
              <w:pStyle w:val="NoSpacing"/>
              <w:ind w:left="0" w:firstLine="0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</w:p>
          <w:p w14:paraId="7B4725DD" w14:textId="77777777" w:rsidR="00C16BB1" w:rsidRDefault="00C16BB1" w:rsidP="006A72FD">
            <w:pPr>
              <w:pStyle w:val="NoSpacing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</w:p>
          <w:p w14:paraId="0A43786C" w14:textId="77777777" w:rsidR="006A72FD" w:rsidRDefault="006A72FD" w:rsidP="006A72FD">
            <w:pPr>
              <w:pStyle w:val="NoSpacing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</w:p>
          <w:p w14:paraId="3BF3D0C6" w14:textId="03D77243" w:rsidR="00E17D81" w:rsidRDefault="00E17D81" w:rsidP="00E17D81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  <w:r w:rsidRPr="005D573A"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  <w:t>*In Progress</w:t>
            </w:r>
          </w:p>
          <w:p w14:paraId="026537A4" w14:textId="63041DED" w:rsidR="008E53DA" w:rsidRPr="008E53DA" w:rsidRDefault="008E53DA" w:rsidP="00E17D81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</w:p>
          <w:p w14:paraId="537509C5" w14:textId="77777777" w:rsidR="006A72FD" w:rsidRDefault="006A72FD" w:rsidP="006A72FD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  <w:r w:rsidRPr="005D573A"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  <w:t>*In Progress</w:t>
            </w:r>
          </w:p>
          <w:p w14:paraId="7A9C4B70" w14:textId="77777777" w:rsidR="004C2BF6" w:rsidRPr="00EA7A8F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F7386" w14:paraId="3F3D1B81" w14:textId="77777777" w:rsidTr="00225E10">
        <w:tc>
          <w:tcPr>
            <w:tcW w:w="561" w:type="dxa"/>
          </w:tcPr>
          <w:p w14:paraId="6D2066EC" w14:textId="109E36CE" w:rsidR="00FF7386" w:rsidRDefault="00CE4FE0" w:rsidP="004C2BF6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>9</w:t>
            </w:r>
          </w:p>
        </w:tc>
        <w:tc>
          <w:tcPr>
            <w:tcW w:w="2098" w:type="dxa"/>
          </w:tcPr>
          <w:p w14:paraId="0F194DD2" w14:textId="0F8A7406" w:rsidR="00FF7386" w:rsidRPr="001C66E1" w:rsidRDefault="00FF7386" w:rsidP="004C2BF6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Funding</w:t>
            </w:r>
          </w:p>
        </w:tc>
        <w:tc>
          <w:tcPr>
            <w:tcW w:w="5914" w:type="dxa"/>
          </w:tcPr>
          <w:p w14:paraId="58CB1BEC" w14:textId="6EA9A364" w:rsidR="00FF7386" w:rsidRPr="00990672" w:rsidRDefault="00542AA5" w:rsidP="00E17D81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90672">
              <w:rPr>
                <w:rFonts w:asciiTheme="minorHAnsi" w:hAnsiTheme="minorHAnsi"/>
                <w:sz w:val="20"/>
                <w:szCs w:val="20"/>
              </w:rPr>
              <w:t>Funding questions are information</w:t>
            </w:r>
            <w:r w:rsidR="006F471E" w:rsidRPr="00990672">
              <w:rPr>
                <w:rFonts w:asciiTheme="minorHAnsi" w:hAnsiTheme="minorHAnsi"/>
                <w:sz w:val="20"/>
                <w:szCs w:val="20"/>
              </w:rPr>
              <w:t>-based</w:t>
            </w:r>
            <w:r w:rsidRPr="00990672">
              <w:rPr>
                <w:rFonts w:asciiTheme="minorHAnsi" w:hAnsiTheme="minorHAnsi"/>
                <w:sz w:val="20"/>
                <w:szCs w:val="20"/>
              </w:rPr>
              <w:t xml:space="preserve"> (e.g. how funded) </w:t>
            </w:r>
            <w:r w:rsidR="00990672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990672">
              <w:rPr>
                <w:rFonts w:asciiTheme="minorHAnsi" w:hAnsiTheme="minorHAnsi"/>
                <w:sz w:val="20"/>
                <w:szCs w:val="20"/>
              </w:rPr>
              <w:t>not satisfaction or issues-related</w:t>
            </w:r>
            <w:r w:rsidR="006F471E" w:rsidRPr="00990672">
              <w:rPr>
                <w:rFonts w:asciiTheme="minorHAnsi" w:hAnsiTheme="minorHAnsi"/>
                <w:sz w:val="20"/>
                <w:szCs w:val="20"/>
              </w:rPr>
              <w:t xml:space="preserve">. Many Education PhDs </w:t>
            </w:r>
            <w:r w:rsidR="00FE7C78" w:rsidRPr="00990672">
              <w:rPr>
                <w:rFonts w:asciiTheme="minorHAnsi" w:hAnsiTheme="minorHAnsi"/>
                <w:sz w:val="20"/>
                <w:szCs w:val="20"/>
              </w:rPr>
              <w:t xml:space="preserve">(43%) </w:t>
            </w:r>
            <w:r w:rsidR="006F471E" w:rsidRPr="00990672">
              <w:rPr>
                <w:rFonts w:asciiTheme="minorHAnsi" w:hAnsiTheme="minorHAnsi"/>
                <w:sz w:val="20"/>
                <w:szCs w:val="20"/>
              </w:rPr>
              <w:t xml:space="preserve">are PT as they work full-time as teachers, for example, so are not funded in any way. </w:t>
            </w:r>
          </w:p>
        </w:tc>
        <w:tc>
          <w:tcPr>
            <w:tcW w:w="1412" w:type="dxa"/>
          </w:tcPr>
          <w:p w14:paraId="02FB1424" w14:textId="7643103E" w:rsidR="00FF7386" w:rsidRDefault="00CE4FE0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242" w:type="dxa"/>
          </w:tcPr>
          <w:p w14:paraId="75404FAA" w14:textId="271FF8F3" w:rsidR="00FF7386" w:rsidRDefault="00CE4FE0" w:rsidP="00E17D81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  <w:r w:rsidRPr="005D573A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N/A</w:t>
            </w:r>
          </w:p>
        </w:tc>
      </w:tr>
      <w:tr w:rsidR="009B06DF" w14:paraId="25C1EF5D" w14:textId="77777777" w:rsidTr="00225E10">
        <w:tc>
          <w:tcPr>
            <w:tcW w:w="561" w:type="dxa"/>
          </w:tcPr>
          <w:p w14:paraId="2E36F314" w14:textId="4B827335" w:rsidR="004C2BF6" w:rsidRDefault="00CE4FE0" w:rsidP="004C2BF6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>10</w:t>
            </w:r>
          </w:p>
        </w:tc>
        <w:tc>
          <w:tcPr>
            <w:tcW w:w="2098" w:type="dxa"/>
          </w:tcPr>
          <w:p w14:paraId="0D180D60" w14:textId="10598437" w:rsidR="004C2BF6" w:rsidRPr="001C66E1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 xml:space="preserve">Development Opportunities  </w:t>
            </w:r>
          </w:p>
        </w:tc>
        <w:tc>
          <w:tcPr>
            <w:tcW w:w="5914" w:type="dxa"/>
          </w:tcPr>
          <w:p w14:paraId="47FC82CD" w14:textId="77777777" w:rsidR="00B1273F" w:rsidRDefault="008E00BD" w:rsidP="00000EC7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For 9 items, the scores range from </w:t>
            </w:r>
            <w:r w:rsidR="00465EDE">
              <w:rPr>
                <w:rFonts w:asciiTheme="minorHAnsi" w:hAnsiTheme="minorHAnsi"/>
                <w:sz w:val="20"/>
                <w:szCs w:val="20"/>
              </w:rPr>
              <w:t>6</w:t>
            </w:r>
            <w:r>
              <w:rPr>
                <w:rFonts w:asciiTheme="minorHAnsi" w:hAnsiTheme="minorHAnsi"/>
                <w:sz w:val="20"/>
                <w:szCs w:val="20"/>
              </w:rPr>
              <w:t>3-92%</w:t>
            </w:r>
            <w:r w:rsidR="00465EDE">
              <w:rPr>
                <w:rFonts w:asciiTheme="minorHAnsi" w:hAnsiTheme="minorHAnsi"/>
                <w:sz w:val="20"/>
                <w:szCs w:val="20"/>
              </w:rPr>
              <w:t xml:space="preserve"> and no actions are planned. </w:t>
            </w:r>
          </w:p>
          <w:p w14:paraId="6863D4AE" w14:textId="45B83CAD" w:rsidR="00715584" w:rsidRDefault="00465EDE" w:rsidP="00000EC7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 the remaining items</w:t>
            </w:r>
            <w:r w:rsidR="00874A5C">
              <w:rPr>
                <w:rFonts w:asciiTheme="minorHAnsi" w:hAnsiTheme="minorHAnsi"/>
                <w:sz w:val="20"/>
                <w:szCs w:val="20"/>
              </w:rPr>
              <w:t xml:space="preserve"> scoring 55% and under, we note th</w:t>
            </w:r>
            <w:r w:rsidR="008834F4">
              <w:rPr>
                <w:rFonts w:asciiTheme="minorHAnsi" w:hAnsiTheme="minorHAnsi"/>
                <w:sz w:val="20"/>
                <w:szCs w:val="20"/>
              </w:rPr>
              <w:t xml:space="preserve">at several are not relevant for our School (for example, taking part in a placement or internship, </w:t>
            </w:r>
            <w:r w:rsidR="00AB3926">
              <w:rPr>
                <w:rFonts w:asciiTheme="minorHAnsi" w:hAnsiTheme="minorHAnsi"/>
                <w:sz w:val="20"/>
                <w:szCs w:val="20"/>
              </w:rPr>
              <w:t xml:space="preserve">receiving training in entrepreneurship and innovation </w:t>
            </w:r>
            <w:r w:rsidR="00715584">
              <w:rPr>
                <w:rFonts w:asciiTheme="minorHAnsi" w:hAnsiTheme="minorHAnsi"/>
                <w:sz w:val="20"/>
                <w:szCs w:val="20"/>
              </w:rPr>
              <w:t>and working with industry</w:t>
            </w:r>
            <w:r w:rsidR="00137978">
              <w:rPr>
                <w:rFonts w:asciiTheme="minorHAnsi" w:hAnsiTheme="minorHAnsi"/>
                <w:sz w:val="20"/>
                <w:szCs w:val="20"/>
              </w:rPr>
              <w:t xml:space="preserve">, spending time abroad etc.). </w:t>
            </w:r>
          </w:p>
          <w:p w14:paraId="6EC5DDCF" w14:textId="2E7AE31E" w:rsidR="00AF65FB" w:rsidRPr="00B1273F" w:rsidRDefault="00715584" w:rsidP="00B1273F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Some items </w:t>
            </w:r>
            <w:r w:rsidR="00B778AC">
              <w:rPr>
                <w:rFonts w:asciiTheme="minorHAnsi" w:hAnsiTheme="minorHAnsi"/>
                <w:sz w:val="20"/>
                <w:szCs w:val="20"/>
              </w:rPr>
              <w:t>do require our attention, including receiving advi</w:t>
            </w:r>
            <w:r w:rsidR="00137978">
              <w:rPr>
                <w:rFonts w:asciiTheme="minorHAnsi" w:hAnsiTheme="minorHAnsi"/>
                <w:sz w:val="20"/>
                <w:szCs w:val="20"/>
              </w:rPr>
              <w:t>c</w:t>
            </w:r>
            <w:r w:rsidR="00B778AC">
              <w:rPr>
                <w:rFonts w:asciiTheme="minorHAnsi" w:hAnsiTheme="minorHAnsi"/>
                <w:sz w:val="20"/>
                <w:szCs w:val="20"/>
              </w:rPr>
              <w:t>e on careers</w:t>
            </w:r>
            <w:r w:rsidR="00AC5775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137978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AC5775">
              <w:rPr>
                <w:rFonts w:asciiTheme="minorHAnsi" w:hAnsiTheme="minorHAnsi"/>
                <w:sz w:val="20"/>
                <w:szCs w:val="20"/>
              </w:rPr>
              <w:t>submitting a paper for publication</w:t>
            </w:r>
            <w:r w:rsidR="00137978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AC5775">
              <w:rPr>
                <w:rFonts w:asciiTheme="minorHAnsi" w:hAnsiTheme="minorHAnsi"/>
                <w:sz w:val="20"/>
                <w:szCs w:val="20"/>
              </w:rPr>
              <w:t xml:space="preserve">However, </w:t>
            </w:r>
            <w:r w:rsidR="00137978">
              <w:rPr>
                <w:rFonts w:asciiTheme="minorHAnsi" w:hAnsiTheme="minorHAnsi"/>
                <w:sz w:val="20"/>
                <w:szCs w:val="20"/>
              </w:rPr>
              <w:t xml:space="preserve">Education PhDs </w:t>
            </w:r>
            <w:r w:rsidR="00AC5775">
              <w:rPr>
                <w:rFonts w:asciiTheme="minorHAnsi" w:hAnsiTheme="minorHAnsi"/>
                <w:sz w:val="20"/>
                <w:szCs w:val="20"/>
              </w:rPr>
              <w:t xml:space="preserve">do actually receive training on these topics through the Structured PhD module ED6167 but these particular sessions take place each year in March and April, so the students had not yet </w:t>
            </w:r>
            <w:r w:rsidR="00810822">
              <w:rPr>
                <w:rFonts w:asciiTheme="minorHAnsi" w:hAnsiTheme="minorHAnsi"/>
                <w:sz w:val="20"/>
                <w:szCs w:val="20"/>
              </w:rPr>
              <w:t>had</w:t>
            </w:r>
            <w:r w:rsidR="00AC5775">
              <w:rPr>
                <w:rFonts w:asciiTheme="minorHAnsi" w:hAnsiTheme="minorHAnsi"/>
                <w:sz w:val="20"/>
                <w:szCs w:val="20"/>
              </w:rPr>
              <w:t xml:space="preserve"> them when completing the questionnaire. School supports </w:t>
            </w:r>
            <w:r w:rsidR="000D23FE">
              <w:rPr>
                <w:rFonts w:asciiTheme="minorHAnsi" w:hAnsiTheme="minorHAnsi"/>
                <w:sz w:val="20"/>
                <w:szCs w:val="20"/>
              </w:rPr>
              <w:t xml:space="preserve">have again </w:t>
            </w:r>
            <w:r w:rsidR="000D23FE">
              <w:rPr>
                <w:rFonts w:asciiTheme="minorHAnsi" w:hAnsiTheme="minorHAnsi"/>
                <w:sz w:val="20"/>
                <w:szCs w:val="20"/>
              </w:rPr>
              <w:lastRenderedPageBreak/>
              <w:t>been</w:t>
            </w:r>
            <w:r w:rsidR="00AC5775">
              <w:rPr>
                <w:rFonts w:asciiTheme="minorHAnsi" w:hAnsiTheme="minorHAnsi"/>
                <w:sz w:val="20"/>
                <w:szCs w:val="20"/>
              </w:rPr>
              <w:t xml:space="preserve"> highlighted to students by the DDS, and supervisors </w:t>
            </w:r>
            <w:r w:rsidR="000D23FE">
              <w:rPr>
                <w:rFonts w:asciiTheme="minorHAnsi" w:hAnsiTheme="minorHAnsi"/>
                <w:sz w:val="20"/>
                <w:szCs w:val="20"/>
              </w:rPr>
              <w:t>have been</w:t>
            </w:r>
            <w:r w:rsidR="00AC5775">
              <w:rPr>
                <w:rFonts w:asciiTheme="minorHAnsi" w:hAnsiTheme="minorHAnsi"/>
                <w:sz w:val="20"/>
                <w:szCs w:val="20"/>
              </w:rPr>
              <w:t xml:space="preserve"> reminded to </w:t>
            </w:r>
            <w:r w:rsidR="006E11AF">
              <w:rPr>
                <w:rFonts w:asciiTheme="minorHAnsi" w:hAnsiTheme="minorHAnsi"/>
                <w:sz w:val="20"/>
                <w:szCs w:val="20"/>
              </w:rPr>
              <w:t>direct their students to the Careers Advisory Service as appropriate</w:t>
            </w:r>
            <w:r w:rsidR="000D23F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6E11AF">
              <w:rPr>
                <w:rFonts w:asciiTheme="minorHAnsi" w:hAnsiTheme="minorHAnsi"/>
                <w:sz w:val="20"/>
                <w:szCs w:val="20"/>
              </w:rPr>
              <w:t xml:space="preserve">and also to discuss publication possibilities with their students at appropriate junctures. </w:t>
            </w:r>
          </w:p>
        </w:tc>
        <w:tc>
          <w:tcPr>
            <w:tcW w:w="1412" w:type="dxa"/>
          </w:tcPr>
          <w:p w14:paraId="3F838D10" w14:textId="77777777" w:rsidR="004C2BF6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C31A7B" w14:textId="77777777" w:rsidR="00591C27" w:rsidRDefault="00591C27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4CAD49" w14:textId="77777777" w:rsidR="00591C27" w:rsidRDefault="00591C27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E6E3BD" w14:textId="77777777" w:rsidR="00591C27" w:rsidRDefault="00591C27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3DB12E8" w14:textId="77777777" w:rsidR="00591C27" w:rsidRDefault="00591C27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AEA204" w14:textId="77777777" w:rsidR="00AF65FB" w:rsidRDefault="00AF65FB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8D41FFA" w14:textId="77777777" w:rsidR="00137978" w:rsidRDefault="00137978" w:rsidP="00137978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99B699" w14:textId="77777777" w:rsidR="00137978" w:rsidRDefault="00137978" w:rsidP="00137978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CE7502A" w14:textId="0CDBA01A" w:rsidR="00AF65FB" w:rsidRDefault="00591C27" w:rsidP="00137978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DDS</w:t>
            </w:r>
          </w:p>
          <w:p w14:paraId="37DB4868" w14:textId="32E4CA43" w:rsidR="00AF65FB" w:rsidRPr="00EA7A8F" w:rsidRDefault="00AF65FB" w:rsidP="00B1273F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A7A8F">
              <w:rPr>
                <w:rFonts w:asciiTheme="minorHAnsi" w:hAnsiTheme="minorHAnsi"/>
                <w:b/>
                <w:sz w:val="20"/>
                <w:szCs w:val="20"/>
              </w:rPr>
              <w:t>All SoE PhD supervisors</w:t>
            </w:r>
          </w:p>
        </w:tc>
        <w:tc>
          <w:tcPr>
            <w:tcW w:w="1242" w:type="dxa"/>
          </w:tcPr>
          <w:p w14:paraId="096A538B" w14:textId="77777777" w:rsidR="004C2BF6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16015CD" w14:textId="77777777" w:rsidR="00591C27" w:rsidRDefault="00591C27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DAD21D" w14:textId="0E268773" w:rsidR="00591C27" w:rsidRDefault="00591C27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F40AC14" w14:textId="0F16400E" w:rsidR="00591C27" w:rsidRDefault="00591C27" w:rsidP="00591C27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8281D7" w14:textId="77777777" w:rsidR="00591C27" w:rsidRDefault="00591C27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62E2086" w14:textId="77777777" w:rsidR="00AF65FB" w:rsidRDefault="00AF65FB" w:rsidP="00591C27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3D4BA3A4" w14:textId="77777777" w:rsidR="00AF65FB" w:rsidRDefault="00AF65FB" w:rsidP="00591C27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7E45AAD8" w14:textId="77777777" w:rsidR="00B1273F" w:rsidRDefault="00B1273F" w:rsidP="00591C27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43AAC7BC" w14:textId="77777777" w:rsidR="00810822" w:rsidRDefault="00810822" w:rsidP="00591C27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216265DE" w14:textId="77777777" w:rsidR="00B1273F" w:rsidRDefault="00B1273F" w:rsidP="00591C27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40417AF9" w14:textId="77777777" w:rsidR="000D23FE" w:rsidRDefault="000D23FE" w:rsidP="00591C27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5DBBF157" w14:textId="34C68DFA" w:rsidR="00591C27" w:rsidRDefault="00591C27" w:rsidP="00591C27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0D23FE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lastRenderedPageBreak/>
              <w:t>*Complete</w:t>
            </w:r>
          </w:p>
          <w:p w14:paraId="1571D58E" w14:textId="77777777" w:rsidR="006A72FD" w:rsidRDefault="006A72FD" w:rsidP="00591C27">
            <w:pPr>
              <w:pStyle w:val="NoSpacing"/>
              <w:jc w:val="right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7275A182" w14:textId="27E24FF7" w:rsidR="006A72FD" w:rsidRPr="006A72FD" w:rsidRDefault="006A72FD" w:rsidP="006A72FD">
            <w:pPr>
              <w:pStyle w:val="NoSpacing"/>
              <w:jc w:val="center"/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</w:pPr>
            <w:r w:rsidRPr="005D573A"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  <w:t>*In Progres</w:t>
            </w:r>
            <w:r>
              <w:rPr>
                <w:rFonts w:asciiTheme="minorHAnsi" w:hAnsiTheme="minorHAnsi" w:cstheme="minorHAnsi"/>
                <w:b/>
                <w:color w:val="ED7D31" w:themeColor="accent2"/>
                <w:sz w:val="20"/>
                <w:szCs w:val="20"/>
              </w:rPr>
              <w:t>s</w:t>
            </w:r>
          </w:p>
        </w:tc>
      </w:tr>
      <w:tr w:rsidR="009B06DF" w14:paraId="23EF7755" w14:textId="77777777" w:rsidTr="00225E10">
        <w:tc>
          <w:tcPr>
            <w:tcW w:w="561" w:type="dxa"/>
          </w:tcPr>
          <w:p w14:paraId="09FC9245" w14:textId="34C1B34C" w:rsidR="004C2BF6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lastRenderedPageBreak/>
              <w:t>11</w:t>
            </w:r>
          </w:p>
        </w:tc>
        <w:tc>
          <w:tcPr>
            <w:tcW w:w="2098" w:type="dxa"/>
          </w:tcPr>
          <w:p w14:paraId="39841A76" w14:textId="06084607" w:rsidR="004C2BF6" w:rsidRPr="001C66E1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>Motivations</w:t>
            </w:r>
          </w:p>
        </w:tc>
        <w:tc>
          <w:tcPr>
            <w:tcW w:w="5914" w:type="dxa"/>
          </w:tcPr>
          <w:p w14:paraId="1BF7FFF4" w14:textId="0E303327" w:rsidR="004C2BF6" w:rsidRPr="004C2BF6" w:rsidRDefault="004C2BF6" w:rsidP="004C2BF6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C2BF6">
              <w:rPr>
                <w:rFonts w:asciiTheme="minorHAnsi" w:hAnsiTheme="minorHAnsi"/>
                <w:sz w:val="20"/>
                <w:szCs w:val="20"/>
              </w:rPr>
              <w:t>We are not identifying actions here as we do not see we have a role in evaluating</w:t>
            </w:r>
            <w:r w:rsidR="002959D2">
              <w:rPr>
                <w:rFonts w:asciiTheme="minorHAnsi" w:hAnsiTheme="minorHAnsi"/>
                <w:sz w:val="20"/>
                <w:szCs w:val="20"/>
              </w:rPr>
              <w:t xml:space="preserve"> (or changing)</w:t>
            </w:r>
            <w:r w:rsidRPr="004C2BF6">
              <w:rPr>
                <w:rFonts w:asciiTheme="minorHAnsi" w:hAnsiTheme="minorHAnsi"/>
                <w:sz w:val="20"/>
                <w:szCs w:val="20"/>
              </w:rPr>
              <w:t xml:space="preserve"> our students’ initial motivations to do a PhD</w:t>
            </w:r>
            <w:r w:rsidR="006578BD">
              <w:rPr>
                <w:rFonts w:asciiTheme="minorHAnsi" w:hAnsiTheme="minorHAnsi"/>
                <w:sz w:val="20"/>
                <w:szCs w:val="20"/>
              </w:rPr>
              <w:t>.</w:t>
            </w:r>
            <w:r w:rsidR="002959D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14:paraId="1422FA60" w14:textId="445960C4" w:rsidR="004C2BF6" w:rsidRPr="00EA7A8F" w:rsidRDefault="002959D2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242" w:type="dxa"/>
          </w:tcPr>
          <w:p w14:paraId="1CEBFA56" w14:textId="7E425EC4" w:rsidR="004C2BF6" w:rsidRPr="00EA7A8F" w:rsidRDefault="002959D2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</w:tr>
      <w:tr w:rsidR="009B06DF" w14:paraId="2171E168" w14:textId="77777777" w:rsidTr="00225E10">
        <w:tc>
          <w:tcPr>
            <w:tcW w:w="561" w:type="dxa"/>
          </w:tcPr>
          <w:p w14:paraId="537A01A1" w14:textId="28E10895" w:rsidR="004C2BF6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>12</w:t>
            </w:r>
          </w:p>
        </w:tc>
        <w:tc>
          <w:tcPr>
            <w:tcW w:w="2098" w:type="dxa"/>
          </w:tcPr>
          <w:p w14:paraId="0A9D6EB5" w14:textId="5C12FFA3" w:rsidR="004C2BF6" w:rsidRPr="001C66E1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>Career</w:t>
            </w:r>
          </w:p>
        </w:tc>
        <w:tc>
          <w:tcPr>
            <w:tcW w:w="5914" w:type="dxa"/>
          </w:tcPr>
          <w:p w14:paraId="54ACDAD6" w14:textId="3FE7FDB7" w:rsidR="004C2BF6" w:rsidRPr="006578BD" w:rsidRDefault="002959D2" w:rsidP="002959D2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 with the ‘Motivations’ section, w</w:t>
            </w:r>
            <w:r w:rsidRPr="004C2BF6">
              <w:rPr>
                <w:rFonts w:asciiTheme="minorHAnsi" w:hAnsiTheme="minorHAnsi"/>
                <w:sz w:val="20"/>
                <w:szCs w:val="20"/>
              </w:rPr>
              <w:t>e are not identifying actions here as we do not see we have a role in evaluating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(or changing)</w:t>
            </w:r>
            <w:r w:rsidRPr="004C2BF6">
              <w:rPr>
                <w:rFonts w:asciiTheme="minorHAnsi" w:hAnsiTheme="minorHAnsi"/>
                <w:sz w:val="20"/>
                <w:szCs w:val="20"/>
              </w:rPr>
              <w:t xml:space="preserve"> our students’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future career aspirations in terms of the specific areas into which they plan to progress. </w:t>
            </w:r>
            <w:r w:rsidR="0098115A">
              <w:rPr>
                <w:rFonts w:asciiTheme="minorHAnsi" w:hAnsiTheme="minorHAnsi"/>
                <w:sz w:val="20"/>
                <w:szCs w:val="20"/>
              </w:rPr>
              <w:t xml:space="preserve">Given that 67% report considering an academic career post-PhD, this will be </w:t>
            </w:r>
            <w:r w:rsidR="00A96545">
              <w:rPr>
                <w:rFonts w:asciiTheme="minorHAnsi" w:hAnsiTheme="minorHAnsi"/>
                <w:sz w:val="20"/>
                <w:szCs w:val="20"/>
              </w:rPr>
              <w:t>reflected upon (as it usually is</w:t>
            </w:r>
            <w:r w:rsidR="00C227C4">
              <w:rPr>
                <w:rFonts w:asciiTheme="minorHAnsi" w:hAnsiTheme="minorHAnsi"/>
                <w:sz w:val="20"/>
                <w:szCs w:val="20"/>
              </w:rPr>
              <w:t xml:space="preserve"> each year</w:t>
            </w:r>
            <w:r w:rsidR="00A96545">
              <w:rPr>
                <w:rFonts w:asciiTheme="minorHAnsi" w:hAnsiTheme="minorHAnsi"/>
                <w:sz w:val="20"/>
                <w:szCs w:val="20"/>
              </w:rPr>
              <w:t xml:space="preserve">) during the relevant ED6167 session entitled ‘Working in Academia and Beyond’ </w:t>
            </w:r>
            <w:r w:rsidR="00270540">
              <w:rPr>
                <w:rFonts w:asciiTheme="minorHAnsi" w:hAnsiTheme="minorHAnsi"/>
                <w:sz w:val="20"/>
                <w:szCs w:val="20"/>
              </w:rPr>
              <w:t xml:space="preserve">which takes place in April. </w:t>
            </w:r>
          </w:p>
        </w:tc>
        <w:tc>
          <w:tcPr>
            <w:tcW w:w="1412" w:type="dxa"/>
          </w:tcPr>
          <w:p w14:paraId="06542FB8" w14:textId="38B9CD13" w:rsidR="004C2BF6" w:rsidRPr="00EA7A8F" w:rsidRDefault="002959D2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242" w:type="dxa"/>
          </w:tcPr>
          <w:p w14:paraId="66B74F80" w14:textId="33641198" w:rsidR="004C2BF6" w:rsidRPr="00EA7A8F" w:rsidRDefault="002959D2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N/A </w:t>
            </w:r>
          </w:p>
        </w:tc>
      </w:tr>
      <w:tr w:rsidR="009B06DF" w14:paraId="1458EF53" w14:textId="77777777" w:rsidTr="00225E10">
        <w:tc>
          <w:tcPr>
            <w:tcW w:w="561" w:type="dxa"/>
          </w:tcPr>
          <w:p w14:paraId="1538C5E5" w14:textId="32E1FAE6" w:rsidR="004C2BF6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 w:rsidRPr="00300FE9">
              <w:rPr>
                <w:rFonts w:asciiTheme="minorHAnsi" w:eastAsia="Arial" w:hAnsiTheme="minorHAnsi" w:cs="Arial"/>
                <w:b/>
                <w:sz w:val="22"/>
              </w:rPr>
              <w:t>1</w:t>
            </w:r>
            <w:r>
              <w:rPr>
                <w:rFonts w:asciiTheme="minorHAnsi" w:eastAsia="Arial" w:hAnsiTheme="minorHAnsi" w:cs="Arial"/>
                <w:b/>
                <w:sz w:val="22"/>
              </w:rPr>
              <w:t>3</w:t>
            </w:r>
          </w:p>
        </w:tc>
        <w:tc>
          <w:tcPr>
            <w:tcW w:w="2098" w:type="dxa"/>
          </w:tcPr>
          <w:p w14:paraId="3E0C9ECF" w14:textId="226328CA" w:rsidR="004C2BF6" w:rsidRPr="001C66E1" w:rsidRDefault="004C2BF6" w:rsidP="004C2BF6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 xml:space="preserve">Overall Experience </w:t>
            </w:r>
          </w:p>
        </w:tc>
        <w:tc>
          <w:tcPr>
            <w:tcW w:w="5914" w:type="dxa"/>
          </w:tcPr>
          <w:p w14:paraId="05354305" w14:textId="199090B8" w:rsidR="004C2BF6" w:rsidRPr="002959D2" w:rsidRDefault="00270540" w:rsidP="002959D2">
            <w:pPr>
              <w:spacing w:after="154" w:line="259" w:lineRule="auto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We are very pleased with the score here, which shows that </w:t>
            </w:r>
            <w:r w:rsidR="001C519D">
              <w:rPr>
                <w:rFonts w:asciiTheme="minorHAnsi" w:hAnsiTheme="minorHAnsi"/>
                <w:sz w:val="20"/>
                <w:szCs w:val="20"/>
              </w:rPr>
              <w:t xml:space="preserve">92% of Education PhDs a) report a good-excellent research experiences, and b) report </w:t>
            </w:r>
            <w:r w:rsidR="009D3E75">
              <w:rPr>
                <w:rFonts w:asciiTheme="minorHAnsi" w:hAnsiTheme="minorHAnsi"/>
                <w:sz w:val="20"/>
                <w:szCs w:val="20"/>
              </w:rPr>
              <w:t>that they are confident about completion. We note that th</w:t>
            </w:r>
            <w:r w:rsidR="00DD5343">
              <w:rPr>
                <w:rFonts w:asciiTheme="minorHAnsi" w:hAnsiTheme="minorHAnsi"/>
                <w:sz w:val="20"/>
                <w:szCs w:val="20"/>
              </w:rPr>
              <w:t>e</w:t>
            </w:r>
            <w:r w:rsidR="009D3E75">
              <w:rPr>
                <w:rFonts w:asciiTheme="minorHAnsi" w:hAnsiTheme="minorHAnsi"/>
                <w:sz w:val="20"/>
                <w:szCs w:val="20"/>
              </w:rPr>
              <w:t xml:space="preserve"> score</w:t>
            </w:r>
            <w:r w:rsidR="00DD5343">
              <w:rPr>
                <w:rFonts w:asciiTheme="minorHAnsi" w:hAnsiTheme="minorHAnsi"/>
                <w:sz w:val="20"/>
                <w:szCs w:val="20"/>
              </w:rPr>
              <w:t xml:space="preserve"> for a)</w:t>
            </w:r>
            <w:r w:rsidR="009D3E75">
              <w:rPr>
                <w:rFonts w:asciiTheme="minorHAnsi" w:hAnsiTheme="minorHAnsi"/>
                <w:sz w:val="20"/>
                <w:szCs w:val="20"/>
              </w:rPr>
              <w:t xml:space="preserve"> is the highest </w:t>
            </w:r>
            <w:r w:rsidR="00CF04CD">
              <w:rPr>
                <w:rFonts w:asciiTheme="minorHAnsi" w:hAnsiTheme="minorHAnsi"/>
                <w:sz w:val="20"/>
                <w:szCs w:val="20"/>
              </w:rPr>
              <w:t xml:space="preserve">for Schools </w:t>
            </w:r>
            <w:r w:rsidR="009D3E75">
              <w:rPr>
                <w:rFonts w:asciiTheme="minorHAnsi" w:hAnsiTheme="minorHAnsi"/>
                <w:sz w:val="20"/>
                <w:szCs w:val="20"/>
              </w:rPr>
              <w:t>across the College</w:t>
            </w:r>
            <w:r w:rsidR="00CF04CD">
              <w:rPr>
                <w:rFonts w:asciiTheme="minorHAnsi" w:hAnsiTheme="minorHAnsi"/>
                <w:sz w:val="20"/>
                <w:szCs w:val="20"/>
              </w:rPr>
              <w:t xml:space="preserve"> (and for b) is tied with 2 other Schools).</w:t>
            </w:r>
            <w:r w:rsidR="00CD329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77BE6">
              <w:rPr>
                <w:rFonts w:asciiTheme="minorHAnsi" w:hAnsiTheme="minorHAnsi"/>
                <w:sz w:val="20"/>
                <w:szCs w:val="20"/>
              </w:rPr>
              <w:t>We also note that 67% report not having considered withdrawing</w:t>
            </w:r>
            <w:r w:rsidR="00CD329D">
              <w:rPr>
                <w:rFonts w:asciiTheme="minorHAnsi" w:hAnsiTheme="minorHAnsi"/>
                <w:sz w:val="20"/>
                <w:szCs w:val="20"/>
              </w:rPr>
              <w:t xml:space="preserve">, again the highest across Schools in the College. </w:t>
            </w:r>
            <w:r w:rsidR="002959D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</w:tcPr>
          <w:p w14:paraId="6758C5CB" w14:textId="0E1BF99E" w:rsidR="004C2BF6" w:rsidRPr="00EA7A8F" w:rsidRDefault="002959D2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  <w:tc>
          <w:tcPr>
            <w:tcW w:w="1242" w:type="dxa"/>
          </w:tcPr>
          <w:p w14:paraId="53A8F8AD" w14:textId="7E692D8E" w:rsidR="004C2BF6" w:rsidRPr="00EA7A8F" w:rsidRDefault="002959D2" w:rsidP="004C2BF6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</w:tr>
    </w:tbl>
    <w:p w14:paraId="76C511B2" w14:textId="77777777" w:rsidR="00300FE9" w:rsidRPr="00300FE9" w:rsidRDefault="00300FE9" w:rsidP="00300FE9">
      <w:pPr>
        <w:pStyle w:val="NoSpacing"/>
        <w:ind w:firstLine="0"/>
        <w:jc w:val="right"/>
        <w:rPr>
          <w:rFonts w:asciiTheme="minorHAnsi" w:hAnsiTheme="minorHAnsi" w:cstheme="minorHAnsi"/>
          <w:b/>
          <w:sz w:val="22"/>
        </w:rPr>
      </w:pPr>
      <w:r w:rsidRPr="00300FE9">
        <w:rPr>
          <w:rFonts w:asciiTheme="minorHAnsi" w:hAnsiTheme="minorHAnsi" w:cstheme="minorHAnsi"/>
          <w:b/>
          <w:color w:val="FF0000"/>
          <w:sz w:val="22"/>
        </w:rPr>
        <w:t xml:space="preserve">*Not Started </w:t>
      </w:r>
    </w:p>
    <w:p w14:paraId="0144DE37" w14:textId="77777777" w:rsidR="00300FE9" w:rsidRPr="00300FE9" w:rsidRDefault="00300FE9" w:rsidP="00300FE9">
      <w:pPr>
        <w:pStyle w:val="NoSpacing"/>
        <w:jc w:val="right"/>
        <w:rPr>
          <w:rFonts w:asciiTheme="minorHAnsi" w:hAnsiTheme="minorHAnsi" w:cstheme="minorHAnsi"/>
          <w:b/>
          <w:color w:val="00B050"/>
          <w:sz w:val="22"/>
        </w:rPr>
      </w:pPr>
      <w:r w:rsidRPr="00300FE9">
        <w:rPr>
          <w:rFonts w:asciiTheme="minorHAnsi" w:hAnsiTheme="minorHAnsi" w:cstheme="minorHAnsi"/>
          <w:b/>
          <w:color w:val="ED7D31" w:themeColor="accent2"/>
          <w:sz w:val="22"/>
        </w:rPr>
        <w:t>*In Progress</w:t>
      </w:r>
      <w:r w:rsidRPr="00300FE9">
        <w:rPr>
          <w:rFonts w:asciiTheme="minorHAnsi" w:hAnsiTheme="minorHAnsi" w:cstheme="minorHAnsi"/>
          <w:b/>
          <w:color w:val="00B050"/>
          <w:sz w:val="22"/>
        </w:rPr>
        <w:t xml:space="preserve"> </w:t>
      </w:r>
    </w:p>
    <w:p w14:paraId="4A0DA3E5" w14:textId="77777777" w:rsidR="00000DA1" w:rsidRPr="00300FE9" w:rsidRDefault="00300FE9" w:rsidP="00300FE9">
      <w:pPr>
        <w:pStyle w:val="NoSpacing"/>
        <w:jc w:val="right"/>
        <w:rPr>
          <w:rFonts w:asciiTheme="minorHAnsi" w:hAnsiTheme="minorHAnsi" w:cstheme="minorHAnsi"/>
          <w:b/>
          <w:sz w:val="22"/>
        </w:rPr>
      </w:pPr>
      <w:r w:rsidRPr="00300FE9">
        <w:rPr>
          <w:rFonts w:asciiTheme="minorHAnsi" w:hAnsiTheme="minorHAnsi" w:cstheme="minorHAnsi"/>
          <w:b/>
          <w:color w:val="00B050"/>
          <w:sz w:val="22"/>
        </w:rPr>
        <w:t>*Complete</w:t>
      </w:r>
    </w:p>
    <w:p w14:paraId="08555FB6" w14:textId="12779EF8" w:rsidR="005C3FE0" w:rsidRDefault="005C3FE0">
      <w:pPr>
        <w:pStyle w:val="Heading1"/>
        <w:spacing w:after="0"/>
        <w:ind w:left="-5"/>
      </w:pPr>
    </w:p>
    <w:p w14:paraId="772A1D4F" w14:textId="77777777" w:rsidR="001636D7" w:rsidRDefault="001636D7" w:rsidP="001636D7">
      <w:r>
        <w:t xml:space="preserve">Dr. Elaine Keane, </w:t>
      </w:r>
    </w:p>
    <w:p w14:paraId="121A3AA8" w14:textId="41A08107" w:rsidR="001636D7" w:rsidRDefault="001636D7" w:rsidP="001636D7">
      <w:r>
        <w:t>Director of Doctoral Studies,</w:t>
      </w:r>
    </w:p>
    <w:p w14:paraId="4582B718" w14:textId="3F1CAED1" w:rsidR="001636D7" w:rsidRPr="001636D7" w:rsidRDefault="00AF7D91" w:rsidP="001636D7">
      <w:r>
        <w:t xml:space="preserve">March </w:t>
      </w:r>
      <w:r w:rsidR="003507F7">
        <w:t>5</w:t>
      </w:r>
      <w:r w:rsidRPr="00AF7D91">
        <w:rPr>
          <w:vertAlign w:val="superscript"/>
        </w:rPr>
        <w:t>th</w:t>
      </w:r>
      <w:r>
        <w:t xml:space="preserve"> 2024</w:t>
      </w:r>
    </w:p>
    <w:sectPr w:rsidR="001636D7" w:rsidRPr="001636D7" w:rsidSect="00357613">
      <w:footerReference w:type="even" r:id="rId10"/>
      <w:footerReference w:type="default" r:id="rId11"/>
      <w:footerReference w:type="first" r:id="rId12"/>
      <w:pgSz w:w="11906" w:h="16838"/>
      <w:pgMar w:top="851" w:right="249" w:bottom="851" w:left="425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CACF" w14:textId="77777777" w:rsidR="00357613" w:rsidRDefault="00357613">
      <w:pPr>
        <w:spacing w:after="0" w:line="240" w:lineRule="auto"/>
      </w:pPr>
      <w:r>
        <w:separator/>
      </w:r>
    </w:p>
  </w:endnote>
  <w:endnote w:type="continuationSeparator" w:id="0">
    <w:p w14:paraId="09EFC2A1" w14:textId="77777777" w:rsidR="00357613" w:rsidRDefault="0035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77F8" w14:textId="77777777" w:rsidR="00AE1CD6" w:rsidRDefault="00AE1CD6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94138CA" w14:textId="77777777" w:rsidR="00AE1CD6" w:rsidRDefault="00AE1CD6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602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33489" w14:textId="06FFCC7F" w:rsidR="00AF65FB" w:rsidRDefault="00AF65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E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297DA3" w14:textId="77777777" w:rsidR="00AE1CD6" w:rsidRDefault="00AE1CD6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4E04" w14:textId="77777777" w:rsidR="00AE1CD6" w:rsidRDefault="00AE1CD6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FDCB0C9" w14:textId="77777777" w:rsidR="00AE1CD6" w:rsidRDefault="00AE1CD6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16CF" w14:textId="77777777" w:rsidR="00357613" w:rsidRDefault="00357613">
      <w:pPr>
        <w:spacing w:after="0" w:line="240" w:lineRule="auto"/>
      </w:pPr>
      <w:r>
        <w:separator/>
      </w:r>
    </w:p>
  </w:footnote>
  <w:footnote w:type="continuationSeparator" w:id="0">
    <w:p w14:paraId="071AF76C" w14:textId="77777777" w:rsidR="00357613" w:rsidRDefault="0035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811"/>
    <w:multiLevelType w:val="hybridMultilevel"/>
    <w:tmpl w:val="F0BA96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6FC3"/>
    <w:multiLevelType w:val="multilevel"/>
    <w:tmpl w:val="A5A8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C2219"/>
    <w:multiLevelType w:val="hybridMultilevel"/>
    <w:tmpl w:val="E856C4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16348"/>
    <w:multiLevelType w:val="hybridMultilevel"/>
    <w:tmpl w:val="10422936"/>
    <w:lvl w:ilvl="0" w:tplc="1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2936F9B"/>
    <w:multiLevelType w:val="hybridMultilevel"/>
    <w:tmpl w:val="BBD091A0"/>
    <w:lvl w:ilvl="0" w:tplc="39E67F9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4CA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463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427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26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5C3D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419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8AF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F7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F12F5F"/>
    <w:multiLevelType w:val="hybridMultilevel"/>
    <w:tmpl w:val="3AA652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7634"/>
    <w:multiLevelType w:val="hybridMultilevel"/>
    <w:tmpl w:val="D6ECC028"/>
    <w:lvl w:ilvl="0" w:tplc="538234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0486C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848F50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E5B1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0520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45EE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A8F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A6D8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6ADC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536D57"/>
    <w:multiLevelType w:val="hybridMultilevel"/>
    <w:tmpl w:val="E47C162E"/>
    <w:lvl w:ilvl="0" w:tplc="6C2AE1A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0AE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62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0D3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A11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848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0F4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0CA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C0D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2C087C"/>
    <w:multiLevelType w:val="hybridMultilevel"/>
    <w:tmpl w:val="563EDE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34869"/>
    <w:multiLevelType w:val="hybridMultilevel"/>
    <w:tmpl w:val="397CBA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E22A4"/>
    <w:multiLevelType w:val="hybridMultilevel"/>
    <w:tmpl w:val="2EEA0E36"/>
    <w:lvl w:ilvl="0" w:tplc="91BC6F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0A6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250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6C4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013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2F6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834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656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61E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AA7DE8"/>
    <w:multiLevelType w:val="hybridMultilevel"/>
    <w:tmpl w:val="EADC9452"/>
    <w:lvl w:ilvl="0" w:tplc="1809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1C67FF4"/>
    <w:multiLevelType w:val="hybridMultilevel"/>
    <w:tmpl w:val="06AC3B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B4A4C"/>
    <w:multiLevelType w:val="hybridMultilevel"/>
    <w:tmpl w:val="E200D384"/>
    <w:lvl w:ilvl="0" w:tplc="0EDA1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B3629"/>
    <w:multiLevelType w:val="hybridMultilevel"/>
    <w:tmpl w:val="0A301382"/>
    <w:lvl w:ilvl="0" w:tplc="A8B497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0920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A1E00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A7EC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68C8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AF86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A66F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0A1D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0C4FB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1885016">
    <w:abstractNumId w:val="7"/>
  </w:num>
  <w:num w:numId="2" w16cid:durableId="339432003">
    <w:abstractNumId w:val="6"/>
  </w:num>
  <w:num w:numId="3" w16cid:durableId="546457425">
    <w:abstractNumId w:val="10"/>
  </w:num>
  <w:num w:numId="4" w16cid:durableId="1009256348">
    <w:abstractNumId w:val="4"/>
  </w:num>
  <w:num w:numId="5" w16cid:durableId="2124031619">
    <w:abstractNumId w:val="14"/>
  </w:num>
  <w:num w:numId="6" w16cid:durableId="1193496452">
    <w:abstractNumId w:val="12"/>
  </w:num>
  <w:num w:numId="7" w16cid:durableId="609358059">
    <w:abstractNumId w:val="13"/>
  </w:num>
  <w:num w:numId="8" w16cid:durableId="518852474">
    <w:abstractNumId w:val="1"/>
  </w:num>
  <w:num w:numId="9" w16cid:durableId="893079218">
    <w:abstractNumId w:val="8"/>
  </w:num>
  <w:num w:numId="10" w16cid:durableId="2135949651">
    <w:abstractNumId w:val="9"/>
  </w:num>
  <w:num w:numId="11" w16cid:durableId="1768499235">
    <w:abstractNumId w:val="2"/>
  </w:num>
  <w:num w:numId="12" w16cid:durableId="1419671356">
    <w:abstractNumId w:val="0"/>
  </w:num>
  <w:num w:numId="13" w16cid:durableId="220672650">
    <w:abstractNumId w:val="3"/>
  </w:num>
  <w:num w:numId="14" w16cid:durableId="429593850">
    <w:abstractNumId w:val="5"/>
  </w:num>
  <w:num w:numId="15" w16cid:durableId="1820921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3C"/>
    <w:rsid w:val="00000DA1"/>
    <w:rsid w:val="00000EC7"/>
    <w:rsid w:val="00021D61"/>
    <w:rsid w:val="000564E4"/>
    <w:rsid w:val="00060479"/>
    <w:rsid w:val="00071EB5"/>
    <w:rsid w:val="00074E77"/>
    <w:rsid w:val="000854E2"/>
    <w:rsid w:val="0008587E"/>
    <w:rsid w:val="000965B4"/>
    <w:rsid w:val="00097D5C"/>
    <w:rsid w:val="000B02AE"/>
    <w:rsid w:val="000D23FE"/>
    <w:rsid w:val="000D4486"/>
    <w:rsid w:val="000F7592"/>
    <w:rsid w:val="001107FA"/>
    <w:rsid w:val="00112326"/>
    <w:rsid w:val="0013470D"/>
    <w:rsid w:val="00137978"/>
    <w:rsid w:val="001530FE"/>
    <w:rsid w:val="001636D7"/>
    <w:rsid w:val="001A2187"/>
    <w:rsid w:val="001B7DEF"/>
    <w:rsid w:val="001C2262"/>
    <w:rsid w:val="001C519D"/>
    <w:rsid w:val="001C66E1"/>
    <w:rsid w:val="00206CBA"/>
    <w:rsid w:val="002176DB"/>
    <w:rsid w:val="00220360"/>
    <w:rsid w:val="00225E10"/>
    <w:rsid w:val="0026296B"/>
    <w:rsid w:val="00270540"/>
    <w:rsid w:val="002959D2"/>
    <w:rsid w:val="002A61D5"/>
    <w:rsid w:val="002A637C"/>
    <w:rsid w:val="002B2E8A"/>
    <w:rsid w:val="002E41AF"/>
    <w:rsid w:val="00300FE9"/>
    <w:rsid w:val="00322499"/>
    <w:rsid w:val="00337359"/>
    <w:rsid w:val="003471F4"/>
    <w:rsid w:val="003507F7"/>
    <w:rsid w:val="00357613"/>
    <w:rsid w:val="0038538C"/>
    <w:rsid w:val="003B2877"/>
    <w:rsid w:val="003D21E4"/>
    <w:rsid w:val="00412C91"/>
    <w:rsid w:val="0041522B"/>
    <w:rsid w:val="0044337E"/>
    <w:rsid w:val="004526D8"/>
    <w:rsid w:val="00465EDE"/>
    <w:rsid w:val="00477A68"/>
    <w:rsid w:val="004A1A52"/>
    <w:rsid w:val="004A5D4A"/>
    <w:rsid w:val="004B2277"/>
    <w:rsid w:val="004B6932"/>
    <w:rsid w:val="004C2BF6"/>
    <w:rsid w:val="004C7035"/>
    <w:rsid w:val="004E2192"/>
    <w:rsid w:val="004E2E7F"/>
    <w:rsid w:val="004E41A6"/>
    <w:rsid w:val="004F0395"/>
    <w:rsid w:val="00501236"/>
    <w:rsid w:val="00501F3E"/>
    <w:rsid w:val="005132FC"/>
    <w:rsid w:val="0052533D"/>
    <w:rsid w:val="00525E49"/>
    <w:rsid w:val="00542AA5"/>
    <w:rsid w:val="00553911"/>
    <w:rsid w:val="0056260A"/>
    <w:rsid w:val="00574A5C"/>
    <w:rsid w:val="00586DBC"/>
    <w:rsid w:val="00591C27"/>
    <w:rsid w:val="00591E96"/>
    <w:rsid w:val="005963D9"/>
    <w:rsid w:val="005C3FE0"/>
    <w:rsid w:val="005D573A"/>
    <w:rsid w:val="005F510E"/>
    <w:rsid w:val="0063540D"/>
    <w:rsid w:val="00656474"/>
    <w:rsid w:val="006578BD"/>
    <w:rsid w:val="00687F68"/>
    <w:rsid w:val="006A72FD"/>
    <w:rsid w:val="006C4E7C"/>
    <w:rsid w:val="006D2615"/>
    <w:rsid w:val="006E11AF"/>
    <w:rsid w:val="006F471E"/>
    <w:rsid w:val="00715584"/>
    <w:rsid w:val="00765656"/>
    <w:rsid w:val="00767B2D"/>
    <w:rsid w:val="0077173C"/>
    <w:rsid w:val="00772A23"/>
    <w:rsid w:val="00775E97"/>
    <w:rsid w:val="00787A6D"/>
    <w:rsid w:val="007F12E0"/>
    <w:rsid w:val="007F61F2"/>
    <w:rsid w:val="00800719"/>
    <w:rsid w:val="008044F6"/>
    <w:rsid w:val="008055B8"/>
    <w:rsid w:val="00810822"/>
    <w:rsid w:val="00820748"/>
    <w:rsid w:val="00827431"/>
    <w:rsid w:val="008504D9"/>
    <w:rsid w:val="0086076A"/>
    <w:rsid w:val="00861BDD"/>
    <w:rsid w:val="00862073"/>
    <w:rsid w:val="008740C1"/>
    <w:rsid w:val="00874A5C"/>
    <w:rsid w:val="008834F4"/>
    <w:rsid w:val="008A0993"/>
    <w:rsid w:val="008A513B"/>
    <w:rsid w:val="008C7134"/>
    <w:rsid w:val="008D5A3C"/>
    <w:rsid w:val="008E00BD"/>
    <w:rsid w:val="008E53DA"/>
    <w:rsid w:val="008E6B0F"/>
    <w:rsid w:val="008F3135"/>
    <w:rsid w:val="008F61F0"/>
    <w:rsid w:val="009111F9"/>
    <w:rsid w:val="00931EB3"/>
    <w:rsid w:val="0098115A"/>
    <w:rsid w:val="00990672"/>
    <w:rsid w:val="009955CD"/>
    <w:rsid w:val="009A6E05"/>
    <w:rsid w:val="009B06DF"/>
    <w:rsid w:val="009C7E90"/>
    <w:rsid w:val="009D3E75"/>
    <w:rsid w:val="009D5422"/>
    <w:rsid w:val="009F276C"/>
    <w:rsid w:val="00A4446A"/>
    <w:rsid w:val="00A72072"/>
    <w:rsid w:val="00A84B85"/>
    <w:rsid w:val="00A9332A"/>
    <w:rsid w:val="00A96545"/>
    <w:rsid w:val="00AB3926"/>
    <w:rsid w:val="00AC5775"/>
    <w:rsid w:val="00AD2F25"/>
    <w:rsid w:val="00AE1CD6"/>
    <w:rsid w:val="00AF1893"/>
    <w:rsid w:val="00AF65FB"/>
    <w:rsid w:val="00AF7D91"/>
    <w:rsid w:val="00B07A19"/>
    <w:rsid w:val="00B1273F"/>
    <w:rsid w:val="00B212A7"/>
    <w:rsid w:val="00B262F4"/>
    <w:rsid w:val="00B401FA"/>
    <w:rsid w:val="00B4330F"/>
    <w:rsid w:val="00B52BE9"/>
    <w:rsid w:val="00B778AC"/>
    <w:rsid w:val="00BC4114"/>
    <w:rsid w:val="00BE3629"/>
    <w:rsid w:val="00BE4121"/>
    <w:rsid w:val="00BF57D4"/>
    <w:rsid w:val="00C16BB1"/>
    <w:rsid w:val="00C227C4"/>
    <w:rsid w:val="00C270BE"/>
    <w:rsid w:val="00C359E8"/>
    <w:rsid w:val="00C511D9"/>
    <w:rsid w:val="00C84EBB"/>
    <w:rsid w:val="00CA11A1"/>
    <w:rsid w:val="00CB7E6E"/>
    <w:rsid w:val="00CC26C6"/>
    <w:rsid w:val="00CD329D"/>
    <w:rsid w:val="00CE4FE0"/>
    <w:rsid w:val="00CF04CD"/>
    <w:rsid w:val="00CF708C"/>
    <w:rsid w:val="00D34E0E"/>
    <w:rsid w:val="00D54044"/>
    <w:rsid w:val="00D64E26"/>
    <w:rsid w:val="00D77BE6"/>
    <w:rsid w:val="00D80B27"/>
    <w:rsid w:val="00D919CB"/>
    <w:rsid w:val="00D9206F"/>
    <w:rsid w:val="00D97DCC"/>
    <w:rsid w:val="00DC4AB5"/>
    <w:rsid w:val="00DD5343"/>
    <w:rsid w:val="00E165BA"/>
    <w:rsid w:val="00E17D81"/>
    <w:rsid w:val="00E34A9B"/>
    <w:rsid w:val="00E738BD"/>
    <w:rsid w:val="00E74863"/>
    <w:rsid w:val="00E84B07"/>
    <w:rsid w:val="00E9293E"/>
    <w:rsid w:val="00EA0FB5"/>
    <w:rsid w:val="00EA7A8F"/>
    <w:rsid w:val="00EE136E"/>
    <w:rsid w:val="00EE1EDE"/>
    <w:rsid w:val="00EE265A"/>
    <w:rsid w:val="00EF044E"/>
    <w:rsid w:val="00EF657D"/>
    <w:rsid w:val="00EF67CC"/>
    <w:rsid w:val="00EF7F0D"/>
    <w:rsid w:val="00F92DD9"/>
    <w:rsid w:val="00FB5B36"/>
    <w:rsid w:val="00FD383D"/>
    <w:rsid w:val="00FE7C78"/>
    <w:rsid w:val="00FF4835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2229"/>
  <w15:docId w15:val="{A7BCC2E9-5464-4A0F-9D26-23CC46AC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4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E2192"/>
    <w:pPr>
      <w:ind w:left="720"/>
      <w:contextualSpacing/>
    </w:pPr>
  </w:style>
  <w:style w:type="table" w:styleId="TableGrid0">
    <w:name w:val="Table Grid"/>
    <w:basedOn w:val="TableNormal"/>
    <w:uiPriority w:val="39"/>
    <w:rsid w:val="008F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A19"/>
    <w:pPr>
      <w:tabs>
        <w:tab w:val="center" w:pos="4153"/>
        <w:tab w:val="right" w:pos="8306"/>
      </w:tabs>
      <w:spacing w:after="0" w:line="240" w:lineRule="auto"/>
      <w:ind w:left="0" w:firstLine="0"/>
    </w:pPr>
    <w:rPr>
      <w:color w:val="auto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7A1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6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47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47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74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564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00DA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0DA1"/>
    <w:rPr>
      <w:rFonts w:cs="Times New Roman"/>
      <w:lang w:val="en-US" w:eastAsia="en-US"/>
    </w:rPr>
  </w:style>
  <w:style w:type="paragraph" w:styleId="NoSpacing">
    <w:name w:val="No Spacing"/>
    <w:uiPriority w:val="1"/>
    <w:qFormat/>
    <w:rsid w:val="00300FE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d27ae-6a50-4eec-a8c0-aa0138fe553c">
      <Terms xmlns="http://schemas.microsoft.com/office/infopath/2007/PartnerControls"/>
    </lcf76f155ced4ddcb4097134ff3c332f>
    <TaxCatchAll xmlns="c759ece7-115b-4d09-a992-0736880850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18" ma:contentTypeDescription="Create a new document." ma:contentTypeScope="" ma:versionID="d9111cc2c46a2ddf1f3432036e774443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43ef97ef01004ab7e56c245023f0d309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8db6-0a50-41bc-8a7a-6005367d3f8d}" ma:internalName="TaxCatchAll" ma:showField="CatchAllData" ma:web="c759ece7-115b-4d09-a992-07368808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EDB54-867B-4D85-885F-9DB781E395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75E39A-8BD9-4D11-BC8C-060C695EA0BF}"/>
</file>

<file path=customXml/itemProps3.xml><?xml version="1.0" encoding="utf-8"?>
<ds:datastoreItem xmlns:ds="http://schemas.openxmlformats.org/officeDocument/2006/customXml" ds:itemID="{A129B7A6-29D6-4657-8FB3-8A9B3D2516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Byrnes, Lucy</dc:creator>
  <cp:keywords/>
  <cp:lastModifiedBy>Leech, Donal</cp:lastModifiedBy>
  <cp:revision>2</cp:revision>
  <cp:lastPrinted>2019-10-24T10:30:00Z</cp:lastPrinted>
  <dcterms:created xsi:type="dcterms:W3CDTF">2024-03-15T15:41:00Z</dcterms:created>
  <dcterms:modified xsi:type="dcterms:W3CDTF">2024-03-15T15:41:00Z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</Properties>
</file>