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10B8" w14:textId="2C666250" w:rsidR="009D7153" w:rsidRPr="009D7153" w:rsidRDefault="005A55DA" w:rsidP="000D408F">
      <w:pPr>
        <w:jc w:val="both"/>
        <w:rPr>
          <w:b/>
          <w:bCs/>
          <w:sz w:val="40"/>
          <w:szCs w:val="40"/>
          <w:lang w:val="en-GB"/>
        </w:rPr>
      </w:pPr>
      <w:r w:rsidRPr="009D7153">
        <w:rPr>
          <w:b/>
          <w:bCs/>
          <w:sz w:val="40"/>
          <w:szCs w:val="40"/>
          <w:lang w:val="en-GB"/>
        </w:rPr>
        <w:t xml:space="preserve">School of </w:t>
      </w:r>
      <w:r w:rsidR="005D5330">
        <w:rPr>
          <w:b/>
          <w:bCs/>
          <w:sz w:val="40"/>
          <w:szCs w:val="40"/>
          <w:lang w:val="en-GB"/>
        </w:rPr>
        <w:t>Law</w:t>
      </w:r>
      <w:r w:rsidRPr="009D7153">
        <w:rPr>
          <w:b/>
          <w:bCs/>
          <w:sz w:val="40"/>
          <w:szCs w:val="40"/>
          <w:lang w:val="en-GB"/>
        </w:rPr>
        <w:t xml:space="preserve"> </w:t>
      </w:r>
      <w:r w:rsidR="00D17AE8" w:rsidRPr="009D7153">
        <w:rPr>
          <w:b/>
          <w:bCs/>
          <w:sz w:val="40"/>
          <w:szCs w:val="40"/>
          <w:lang w:val="en-GB"/>
        </w:rPr>
        <w:t>Action Plan</w:t>
      </w:r>
      <w:r w:rsidR="0086568F" w:rsidRPr="009D7153">
        <w:rPr>
          <w:b/>
          <w:bCs/>
          <w:sz w:val="40"/>
          <w:szCs w:val="40"/>
          <w:lang w:val="en-GB"/>
        </w:rPr>
        <w:t xml:space="preserve"> </w:t>
      </w:r>
    </w:p>
    <w:p w14:paraId="7D4BDC00" w14:textId="29EDB592" w:rsidR="00653F64" w:rsidRPr="009D7153" w:rsidRDefault="0086568F" w:rsidP="000D408F">
      <w:pPr>
        <w:jc w:val="both"/>
        <w:rPr>
          <w:i/>
          <w:iCs/>
          <w:sz w:val="32"/>
          <w:szCs w:val="32"/>
          <w:lang w:val="en-GB"/>
        </w:rPr>
      </w:pPr>
      <w:r w:rsidRPr="009D7153">
        <w:rPr>
          <w:i/>
          <w:iCs/>
          <w:sz w:val="32"/>
          <w:szCs w:val="32"/>
          <w:lang w:val="en-GB"/>
        </w:rPr>
        <w:t>Response to 202</w:t>
      </w:r>
      <w:r w:rsidR="007073E2">
        <w:rPr>
          <w:i/>
          <w:iCs/>
          <w:sz w:val="32"/>
          <w:szCs w:val="32"/>
          <w:lang w:val="en-GB"/>
        </w:rPr>
        <w:t>3</w:t>
      </w:r>
      <w:r w:rsidRPr="009D7153">
        <w:rPr>
          <w:i/>
          <w:iCs/>
          <w:sz w:val="32"/>
          <w:szCs w:val="32"/>
          <w:lang w:val="en-GB"/>
        </w:rPr>
        <w:t xml:space="preserve"> Post-Graduate</w:t>
      </w:r>
      <w:r w:rsidR="005A55DA" w:rsidRPr="009D7153">
        <w:rPr>
          <w:i/>
          <w:iCs/>
          <w:sz w:val="32"/>
          <w:szCs w:val="32"/>
          <w:lang w:val="en-GB"/>
        </w:rPr>
        <w:t xml:space="preserve"> Research (PGR)</w:t>
      </w:r>
      <w:r w:rsidRPr="009D7153">
        <w:rPr>
          <w:i/>
          <w:iCs/>
          <w:sz w:val="32"/>
          <w:szCs w:val="32"/>
          <w:lang w:val="en-GB"/>
        </w:rPr>
        <w:t xml:space="preserve"> Student Survey</w:t>
      </w:r>
      <w:r w:rsidR="005A55DA" w:rsidRPr="009D7153">
        <w:rPr>
          <w:i/>
          <w:iCs/>
          <w:sz w:val="32"/>
          <w:szCs w:val="32"/>
          <w:lang w:val="en-GB"/>
        </w:rPr>
        <w:t xml:space="preserve"> Results</w:t>
      </w:r>
    </w:p>
    <w:p w14:paraId="59CBEF81" w14:textId="77777777" w:rsidR="009D7153" w:rsidRDefault="009D7153" w:rsidP="000D408F">
      <w:pPr>
        <w:jc w:val="both"/>
        <w:rPr>
          <w:lang w:val="en-GB"/>
        </w:rPr>
      </w:pPr>
    </w:p>
    <w:p w14:paraId="6031566F" w14:textId="0A1FFDB6" w:rsidR="00653F64" w:rsidRDefault="00653F64" w:rsidP="000D408F">
      <w:pPr>
        <w:jc w:val="both"/>
        <w:rPr>
          <w:lang w:val="en-GB"/>
        </w:rPr>
      </w:pPr>
      <w:r>
        <w:rPr>
          <w:lang w:val="en-GB"/>
        </w:rPr>
        <w:t xml:space="preserve">Developed in Consultation with </w:t>
      </w:r>
      <w:r w:rsidR="005D5330">
        <w:rPr>
          <w:lang w:val="en-GB"/>
        </w:rPr>
        <w:t xml:space="preserve">the </w:t>
      </w:r>
      <w:r>
        <w:rPr>
          <w:lang w:val="en-GB"/>
        </w:rPr>
        <w:t>PGR Student Representative</w:t>
      </w:r>
      <w:r w:rsidR="00767E4D">
        <w:rPr>
          <w:lang w:val="en-GB"/>
        </w:rPr>
        <w:t>s</w:t>
      </w:r>
      <w:r>
        <w:rPr>
          <w:lang w:val="en-GB"/>
        </w:rPr>
        <w:t xml:space="preserve">, Vice Dean of Grad Studies, </w:t>
      </w:r>
      <w:r w:rsidR="00CE0D44">
        <w:rPr>
          <w:lang w:val="en-GB"/>
        </w:rPr>
        <w:t xml:space="preserve">Head of School, </w:t>
      </w:r>
      <w:r>
        <w:rPr>
          <w:lang w:val="en-GB"/>
        </w:rPr>
        <w:t xml:space="preserve">and PhD Programme </w:t>
      </w:r>
      <w:r w:rsidR="009D7153">
        <w:rPr>
          <w:lang w:val="en-GB"/>
        </w:rPr>
        <w:t>Lead in the School of Law</w:t>
      </w:r>
      <w:r>
        <w:rPr>
          <w:lang w:val="en-GB"/>
        </w:rPr>
        <w:t xml:space="preserve">. </w:t>
      </w:r>
    </w:p>
    <w:p w14:paraId="13EFF215" w14:textId="7726D42F" w:rsidR="00D17AE8" w:rsidRDefault="00D17AE8" w:rsidP="000D408F">
      <w:pPr>
        <w:jc w:val="both"/>
        <w:rPr>
          <w:lang w:val="en-GB"/>
        </w:rPr>
      </w:pPr>
    </w:p>
    <w:p w14:paraId="75A12189" w14:textId="77777777" w:rsidR="005A55DA" w:rsidRPr="005A55DA" w:rsidRDefault="00D17AE8" w:rsidP="000D408F">
      <w:pPr>
        <w:jc w:val="both"/>
        <w:rPr>
          <w:b/>
          <w:bCs/>
          <w:lang w:val="en-GB"/>
        </w:rPr>
      </w:pPr>
      <w:r w:rsidRPr="005A55DA">
        <w:rPr>
          <w:b/>
          <w:bCs/>
          <w:lang w:val="en-GB"/>
        </w:rPr>
        <w:t>Research Infrastructure and Facilities</w:t>
      </w:r>
    </w:p>
    <w:p w14:paraId="5C450480" w14:textId="7ED02F15" w:rsidR="005A55DA" w:rsidRDefault="005A55DA" w:rsidP="000D408F">
      <w:pPr>
        <w:jc w:val="both"/>
        <w:rPr>
          <w:lang w:val="en-GB"/>
        </w:rPr>
      </w:pPr>
    </w:p>
    <w:p w14:paraId="17387CEF" w14:textId="1F5B7789" w:rsidR="005A55DA" w:rsidRPr="005A55DA" w:rsidRDefault="005A55DA" w:rsidP="000D408F">
      <w:pPr>
        <w:jc w:val="both"/>
        <w:rPr>
          <w:lang w:val="en-GB"/>
        </w:rPr>
      </w:pPr>
      <w:r w:rsidRPr="009D7153">
        <w:rPr>
          <w:i/>
          <w:iCs/>
          <w:lang w:val="en-GB"/>
        </w:rPr>
        <w:t>Issues:</w:t>
      </w:r>
      <w:r>
        <w:rPr>
          <w:lang w:val="en-GB"/>
        </w:rPr>
        <w:t xml:space="preserve"> </w:t>
      </w:r>
      <w:r w:rsidR="009D7153">
        <w:rPr>
          <w:lang w:val="en-GB"/>
        </w:rPr>
        <w:t>The School of Law received feedback that there is a n</w:t>
      </w:r>
      <w:r w:rsidRPr="005A55DA">
        <w:rPr>
          <w:lang w:val="en-GB"/>
        </w:rPr>
        <w:t xml:space="preserve">eed </w:t>
      </w:r>
      <w:r>
        <w:rPr>
          <w:lang w:val="en-GB"/>
        </w:rPr>
        <w:t>for</w:t>
      </w:r>
      <w:r w:rsidRPr="005A55DA">
        <w:rPr>
          <w:lang w:val="en-GB"/>
        </w:rPr>
        <w:t xml:space="preserve"> better </w:t>
      </w:r>
      <w:r w:rsidR="00FE1120">
        <w:rPr>
          <w:lang w:val="en-GB"/>
        </w:rPr>
        <w:t>library facilities and specialist resources</w:t>
      </w:r>
      <w:r w:rsidR="009D7153">
        <w:rPr>
          <w:lang w:val="en-GB"/>
        </w:rPr>
        <w:t xml:space="preserve"> for PGR students</w:t>
      </w:r>
      <w:r w:rsidRPr="005A55DA">
        <w:rPr>
          <w:lang w:val="en-GB"/>
        </w:rPr>
        <w:t xml:space="preserve">. </w:t>
      </w:r>
      <w:r w:rsidRPr="005A55DA">
        <w:rPr>
          <w:lang w:val="en-GB"/>
        </w:rPr>
        <w:tab/>
      </w:r>
      <w:r w:rsidRPr="005A55DA">
        <w:rPr>
          <w:lang w:val="en-GB"/>
        </w:rPr>
        <w:tab/>
      </w:r>
      <w:r w:rsidRPr="005A55DA">
        <w:rPr>
          <w:lang w:val="en-GB"/>
        </w:rPr>
        <w:tab/>
      </w:r>
      <w:r w:rsidRPr="005A55DA">
        <w:rPr>
          <w:lang w:val="en-GB"/>
        </w:rPr>
        <w:tab/>
      </w:r>
    </w:p>
    <w:p w14:paraId="6D1D9C83" w14:textId="77777777" w:rsidR="005A55DA" w:rsidRPr="005A55DA" w:rsidRDefault="005A55DA" w:rsidP="000D408F">
      <w:pPr>
        <w:jc w:val="both"/>
        <w:rPr>
          <w:lang w:val="en-GB"/>
        </w:rPr>
      </w:pPr>
      <w:r w:rsidRPr="005A55DA">
        <w:rPr>
          <w:lang w:val="en-GB"/>
        </w:rPr>
        <w:tab/>
      </w:r>
      <w:r w:rsidRPr="005A55DA">
        <w:rPr>
          <w:lang w:val="en-GB"/>
        </w:rPr>
        <w:tab/>
      </w:r>
      <w:r w:rsidRPr="005A55DA">
        <w:rPr>
          <w:lang w:val="en-GB"/>
        </w:rPr>
        <w:tab/>
      </w:r>
      <w:r w:rsidRPr="005A55DA">
        <w:rPr>
          <w:lang w:val="en-GB"/>
        </w:rPr>
        <w:tab/>
      </w:r>
    </w:p>
    <w:p w14:paraId="6531E863" w14:textId="77777777" w:rsidR="005A55DA" w:rsidRPr="009D7153" w:rsidRDefault="005A55DA" w:rsidP="000D408F">
      <w:pPr>
        <w:jc w:val="both"/>
        <w:rPr>
          <w:i/>
          <w:iCs/>
          <w:lang w:val="en-GB"/>
        </w:rPr>
      </w:pPr>
      <w:r w:rsidRPr="009D7153">
        <w:rPr>
          <w:i/>
          <w:iCs/>
          <w:lang w:val="en-GB"/>
        </w:rPr>
        <w:t>Action Points:</w:t>
      </w:r>
      <w:r w:rsidRPr="009D7153">
        <w:rPr>
          <w:i/>
          <w:iCs/>
          <w:lang w:val="en-GB"/>
        </w:rPr>
        <w:tab/>
      </w:r>
    </w:p>
    <w:p w14:paraId="240A3691" w14:textId="7B7ECFE9" w:rsidR="005A55DA" w:rsidRPr="005A55DA" w:rsidRDefault="005A55DA" w:rsidP="000D408F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 xml:space="preserve">Communication with supervisors regarding their responsibility to ensure that their PGR students have appropriate facilities for their work. </w:t>
      </w:r>
    </w:p>
    <w:p w14:paraId="18DB71A7" w14:textId="6FB7C809" w:rsidR="00D17AE8" w:rsidRDefault="005A55DA" w:rsidP="000D408F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Communication with supervisors regarding their responsibility to ensure that their PGR students have access to </w:t>
      </w:r>
      <w:r w:rsidR="00D17AE8">
        <w:rPr>
          <w:lang w:val="en-GB"/>
        </w:rPr>
        <w:t>storage space</w:t>
      </w:r>
      <w:r>
        <w:rPr>
          <w:lang w:val="en-GB"/>
        </w:rPr>
        <w:t>, especially</w:t>
      </w:r>
      <w:r w:rsidR="00D17AE8">
        <w:rPr>
          <w:lang w:val="en-GB"/>
        </w:rPr>
        <w:t xml:space="preserve"> for confidential information</w:t>
      </w:r>
      <w:r>
        <w:rPr>
          <w:lang w:val="en-GB"/>
        </w:rPr>
        <w:t>.</w:t>
      </w:r>
    </w:p>
    <w:p w14:paraId="20C34114" w14:textId="5508EFE0" w:rsidR="00D17AE8" w:rsidRDefault="005A55DA" w:rsidP="000D408F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Continue </w:t>
      </w:r>
      <w:r w:rsidR="009D7153">
        <w:rPr>
          <w:lang w:val="en-GB"/>
        </w:rPr>
        <w:t xml:space="preserve">acquiring </w:t>
      </w:r>
      <w:r w:rsidR="00653F64">
        <w:rPr>
          <w:lang w:val="en-GB"/>
        </w:rPr>
        <w:t>e-</w:t>
      </w:r>
      <w:r w:rsidR="004A19B1">
        <w:rPr>
          <w:lang w:val="en-GB"/>
        </w:rPr>
        <w:t xml:space="preserve">resources </w:t>
      </w:r>
      <w:r w:rsidR="00653F64">
        <w:rPr>
          <w:lang w:val="en-GB"/>
        </w:rPr>
        <w:t>in the</w:t>
      </w:r>
      <w:r w:rsidR="00D17AE8">
        <w:rPr>
          <w:lang w:val="en-GB"/>
        </w:rPr>
        <w:t xml:space="preserve"> library</w:t>
      </w:r>
      <w:r w:rsidR="00653F64">
        <w:rPr>
          <w:lang w:val="en-GB"/>
        </w:rPr>
        <w:t xml:space="preserve">. </w:t>
      </w:r>
    </w:p>
    <w:p w14:paraId="64B9AD10" w14:textId="289605CA" w:rsidR="00A561FC" w:rsidRDefault="00A561FC" w:rsidP="000D408F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Need for specialist</w:t>
      </w:r>
      <w:r w:rsidR="004A19B1">
        <w:rPr>
          <w:lang w:val="en-GB"/>
        </w:rPr>
        <w:t>, resources, facilities, and</w:t>
      </w:r>
      <w:r>
        <w:rPr>
          <w:lang w:val="en-GB"/>
        </w:rPr>
        <w:t xml:space="preserve"> librarians – especially in Law.</w:t>
      </w:r>
    </w:p>
    <w:p w14:paraId="1AEAB09B" w14:textId="2C66A907" w:rsidR="00D17AE8" w:rsidRDefault="00D17AE8" w:rsidP="000D408F">
      <w:pPr>
        <w:jc w:val="both"/>
        <w:rPr>
          <w:lang w:val="en-GB"/>
        </w:rPr>
      </w:pPr>
    </w:p>
    <w:p w14:paraId="66507252" w14:textId="1A39C8B2" w:rsidR="00D17AE8" w:rsidRDefault="00D17AE8" w:rsidP="000D408F">
      <w:pPr>
        <w:jc w:val="both"/>
        <w:rPr>
          <w:b/>
          <w:bCs/>
          <w:lang w:val="en-GB"/>
        </w:rPr>
      </w:pPr>
      <w:r w:rsidRPr="00A4384A">
        <w:rPr>
          <w:b/>
          <w:bCs/>
          <w:lang w:val="en-GB"/>
        </w:rPr>
        <w:t>Supervision</w:t>
      </w:r>
    </w:p>
    <w:p w14:paraId="35D52789" w14:textId="1D45C944" w:rsidR="00A4384A" w:rsidRDefault="00A4384A" w:rsidP="000D408F">
      <w:pPr>
        <w:jc w:val="both"/>
        <w:rPr>
          <w:b/>
          <w:bCs/>
          <w:lang w:val="en-GB"/>
        </w:rPr>
      </w:pPr>
    </w:p>
    <w:p w14:paraId="1946EFB3" w14:textId="52E7433C" w:rsidR="00A4384A" w:rsidRPr="00A4384A" w:rsidRDefault="00A4384A" w:rsidP="000D408F">
      <w:pPr>
        <w:jc w:val="both"/>
        <w:rPr>
          <w:lang w:val="en-GB"/>
        </w:rPr>
      </w:pPr>
      <w:r w:rsidRPr="00A16985">
        <w:rPr>
          <w:i/>
          <w:iCs/>
          <w:lang w:val="en-GB"/>
        </w:rPr>
        <w:t>Issues:</w:t>
      </w:r>
      <w:r>
        <w:rPr>
          <w:lang w:val="en-GB"/>
        </w:rPr>
        <w:t xml:space="preserve"> </w:t>
      </w:r>
      <w:r w:rsidR="00A16985">
        <w:rPr>
          <w:lang w:val="en-GB"/>
        </w:rPr>
        <w:t xml:space="preserve">The School of Law has </w:t>
      </w:r>
      <w:r w:rsidR="00A16985" w:rsidRPr="00A16985">
        <w:rPr>
          <w:lang w:val="en-GB"/>
        </w:rPr>
        <w:t>low rates of co-supervision across multiple supervisors</w:t>
      </w:r>
      <w:r w:rsidR="00A16985">
        <w:rPr>
          <w:lang w:val="en-GB"/>
        </w:rPr>
        <w:t>. The</w:t>
      </w:r>
      <w:r w:rsidR="00EE1E8E">
        <w:rPr>
          <w:lang w:val="en-GB"/>
        </w:rPr>
        <w:t>y have improved in recent years, however, the</w:t>
      </w:r>
      <w:r w:rsidR="00A16985">
        <w:rPr>
          <w:lang w:val="en-GB"/>
        </w:rPr>
        <w:t xml:space="preserve">re is </w:t>
      </w:r>
      <w:r w:rsidR="00A16985" w:rsidRPr="00A16985">
        <w:rPr>
          <w:lang w:val="en-GB"/>
        </w:rPr>
        <w:t xml:space="preserve">much less co-supervision and interdisciplinary supervision than other </w:t>
      </w:r>
      <w:r w:rsidR="00A16985">
        <w:rPr>
          <w:lang w:val="en-GB"/>
        </w:rPr>
        <w:t xml:space="preserve">Schools across </w:t>
      </w:r>
      <w:r w:rsidR="00EE1E8E">
        <w:rPr>
          <w:lang w:val="en-GB"/>
        </w:rPr>
        <w:t>the University</w:t>
      </w:r>
      <w:r w:rsidR="00A16985" w:rsidRPr="00A16985">
        <w:rPr>
          <w:lang w:val="en-GB"/>
        </w:rPr>
        <w:t xml:space="preserve">. </w:t>
      </w:r>
    </w:p>
    <w:p w14:paraId="2535D554" w14:textId="005F93D5" w:rsidR="00A4384A" w:rsidRDefault="00A4384A" w:rsidP="000D408F">
      <w:pPr>
        <w:jc w:val="both"/>
        <w:rPr>
          <w:b/>
          <w:bCs/>
          <w:lang w:val="en-GB"/>
        </w:rPr>
      </w:pPr>
    </w:p>
    <w:p w14:paraId="6DB70853" w14:textId="085EB5A7" w:rsidR="00A4384A" w:rsidRPr="00A16985" w:rsidRDefault="00A4384A" w:rsidP="000D408F">
      <w:pPr>
        <w:jc w:val="both"/>
        <w:rPr>
          <w:i/>
          <w:iCs/>
          <w:lang w:val="en-GB"/>
        </w:rPr>
      </w:pPr>
      <w:r w:rsidRPr="00A16985">
        <w:rPr>
          <w:i/>
          <w:iCs/>
          <w:lang w:val="en-GB"/>
        </w:rPr>
        <w:t>Action Points:</w:t>
      </w:r>
    </w:p>
    <w:p w14:paraId="3F633D6B" w14:textId="7D95EE15" w:rsidR="00D17AE8" w:rsidRPr="009D53B1" w:rsidRDefault="009D53B1" w:rsidP="004E3AB9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9D53B1">
        <w:rPr>
          <w:lang w:val="en-GB"/>
        </w:rPr>
        <w:t xml:space="preserve">Encourage co-supervision - including across disciplines, in order to potentially facilitate increased exchange of expertise and skills among supervisors and to work towards the creation of a supportive supervisory team with diverse knowledge, experience, and connections. </w:t>
      </w:r>
    </w:p>
    <w:p w14:paraId="3104C293" w14:textId="77777777" w:rsidR="009D53B1" w:rsidRDefault="009D53B1" w:rsidP="000D408F">
      <w:pPr>
        <w:jc w:val="both"/>
        <w:rPr>
          <w:b/>
          <w:bCs/>
          <w:lang w:val="en-GB"/>
        </w:rPr>
      </w:pPr>
    </w:p>
    <w:p w14:paraId="4AD28F07" w14:textId="7BDB8EDE" w:rsidR="00D17AE8" w:rsidRPr="00A4384A" w:rsidRDefault="00D17AE8" w:rsidP="000D408F">
      <w:pPr>
        <w:jc w:val="both"/>
        <w:rPr>
          <w:b/>
          <w:bCs/>
          <w:lang w:val="en-GB"/>
        </w:rPr>
      </w:pPr>
      <w:r w:rsidRPr="00A4384A">
        <w:rPr>
          <w:b/>
          <w:bCs/>
          <w:lang w:val="en-GB"/>
        </w:rPr>
        <w:t>Research Culture</w:t>
      </w:r>
    </w:p>
    <w:p w14:paraId="31D2D83D" w14:textId="00BE739B" w:rsidR="00A4384A" w:rsidRDefault="00A4384A" w:rsidP="000D408F">
      <w:pPr>
        <w:jc w:val="both"/>
        <w:rPr>
          <w:lang w:val="en-GB"/>
        </w:rPr>
      </w:pPr>
    </w:p>
    <w:p w14:paraId="2565B3D0" w14:textId="00C9B7BC" w:rsidR="00A4384A" w:rsidRDefault="00A4384A" w:rsidP="000D408F">
      <w:pPr>
        <w:jc w:val="both"/>
        <w:rPr>
          <w:lang w:val="en-GB"/>
        </w:rPr>
      </w:pPr>
      <w:r w:rsidRPr="00675E14">
        <w:rPr>
          <w:i/>
          <w:iCs/>
          <w:lang w:val="en-GB"/>
        </w:rPr>
        <w:t>Issues:</w:t>
      </w:r>
      <w:r w:rsidR="00E95251">
        <w:rPr>
          <w:lang w:val="en-GB"/>
        </w:rPr>
        <w:t xml:space="preserve"> </w:t>
      </w:r>
      <w:r w:rsidR="00675E14">
        <w:rPr>
          <w:lang w:val="en-GB"/>
        </w:rPr>
        <w:t>The School of Law received q</w:t>
      </w:r>
      <w:r w:rsidR="00E95251" w:rsidRPr="00E95251">
        <w:rPr>
          <w:lang w:val="en-GB"/>
        </w:rPr>
        <w:t xml:space="preserve">uite </w:t>
      </w:r>
      <w:r w:rsidR="00675E14">
        <w:rPr>
          <w:lang w:val="en-GB"/>
        </w:rPr>
        <w:t xml:space="preserve">positive feedback </w:t>
      </w:r>
      <w:r w:rsidR="00E95251" w:rsidRPr="00E95251">
        <w:rPr>
          <w:lang w:val="en-GB"/>
        </w:rPr>
        <w:t xml:space="preserve">on seminar programs. </w:t>
      </w:r>
      <w:r w:rsidR="00675E14">
        <w:rPr>
          <w:lang w:val="en-GB"/>
        </w:rPr>
        <w:t>It also received positive feedback on r</w:t>
      </w:r>
      <w:r w:rsidR="00E95251" w:rsidRPr="00E95251">
        <w:rPr>
          <w:lang w:val="en-GB"/>
        </w:rPr>
        <w:t xml:space="preserve">esearch ambiance. </w:t>
      </w:r>
      <w:r w:rsidR="00675E14">
        <w:rPr>
          <w:lang w:val="en-GB"/>
        </w:rPr>
        <w:t>There was an indication that there is a</w:t>
      </w:r>
      <w:r w:rsidR="00E95251" w:rsidRPr="00E95251">
        <w:rPr>
          <w:lang w:val="en-GB"/>
        </w:rPr>
        <w:t xml:space="preserve"> need </w:t>
      </w:r>
      <w:r w:rsidR="00675E14">
        <w:rPr>
          <w:lang w:val="en-GB"/>
        </w:rPr>
        <w:t xml:space="preserve">for </w:t>
      </w:r>
      <w:r w:rsidR="00E95251" w:rsidRPr="00E95251">
        <w:rPr>
          <w:lang w:val="en-GB"/>
        </w:rPr>
        <w:t xml:space="preserve">more opportunities for </w:t>
      </w:r>
      <w:r w:rsidR="006744A4">
        <w:rPr>
          <w:lang w:val="en-GB"/>
        </w:rPr>
        <w:t>PGR</w:t>
      </w:r>
      <w:r w:rsidR="006744A4" w:rsidRPr="00E95251">
        <w:rPr>
          <w:lang w:val="en-GB"/>
        </w:rPr>
        <w:t xml:space="preserve"> </w:t>
      </w:r>
      <w:r w:rsidR="00E95251" w:rsidRPr="00E95251">
        <w:rPr>
          <w:lang w:val="en-GB"/>
        </w:rPr>
        <w:t>students to discuss their research with peers</w:t>
      </w:r>
      <w:r w:rsidR="00675E14">
        <w:rPr>
          <w:lang w:val="en-GB"/>
        </w:rPr>
        <w:t>.</w:t>
      </w:r>
      <w:r w:rsidR="00E95251" w:rsidRPr="00E95251">
        <w:rPr>
          <w:lang w:val="en-GB"/>
        </w:rPr>
        <w:t xml:space="preserve"> </w:t>
      </w:r>
      <w:r w:rsidR="00675E14">
        <w:rPr>
          <w:lang w:val="en-GB"/>
        </w:rPr>
        <w:t xml:space="preserve">In addition, there was an indication that there is a need for </w:t>
      </w:r>
      <w:r w:rsidR="00E95251" w:rsidRPr="00E95251">
        <w:rPr>
          <w:lang w:val="en-GB"/>
        </w:rPr>
        <w:t xml:space="preserve">more opportunities for students to become involved in </w:t>
      </w:r>
      <w:r w:rsidR="006744A4">
        <w:rPr>
          <w:lang w:val="en-GB"/>
        </w:rPr>
        <w:t xml:space="preserve">the </w:t>
      </w:r>
      <w:r w:rsidR="00E95251" w:rsidRPr="00E95251">
        <w:rPr>
          <w:lang w:val="en-GB"/>
        </w:rPr>
        <w:t>wider research community.</w:t>
      </w:r>
    </w:p>
    <w:p w14:paraId="46325D06" w14:textId="15278341" w:rsidR="00A4384A" w:rsidRDefault="00A4384A" w:rsidP="000D408F">
      <w:pPr>
        <w:jc w:val="both"/>
        <w:rPr>
          <w:lang w:val="en-GB"/>
        </w:rPr>
      </w:pPr>
    </w:p>
    <w:p w14:paraId="27E30073" w14:textId="34004004" w:rsidR="00A4384A" w:rsidRDefault="00A4384A" w:rsidP="000D408F">
      <w:pPr>
        <w:jc w:val="both"/>
        <w:rPr>
          <w:i/>
          <w:iCs/>
          <w:lang w:val="en-GB"/>
        </w:rPr>
      </w:pPr>
      <w:r w:rsidRPr="00675E14">
        <w:rPr>
          <w:i/>
          <w:iCs/>
          <w:lang w:val="en-GB"/>
        </w:rPr>
        <w:t xml:space="preserve">Action Points: </w:t>
      </w:r>
    </w:p>
    <w:p w14:paraId="6A7C3E17" w14:textId="669D0031" w:rsidR="002348CD" w:rsidRPr="00FA2D5D" w:rsidRDefault="002348CD" w:rsidP="002348CD">
      <w:pPr>
        <w:pStyle w:val="ListParagraph"/>
        <w:numPr>
          <w:ilvl w:val="0"/>
          <w:numId w:val="2"/>
        </w:numPr>
        <w:jc w:val="both"/>
        <w:rPr>
          <w:i/>
          <w:iCs/>
          <w:lang w:val="en-GB"/>
        </w:rPr>
      </w:pPr>
      <w:r>
        <w:rPr>
          <w:lang w:val="en-GB"/>
        </w:rPr>
        <w:t>Facilitate engagement for PGR</w:t>
      </w:r>
      <w:r w:rsidR="006744A4">
        <w:rPr>
          <w:lang w:val="en-GB"/>
        </w:rPr>
        <w:t xml:space="preserve"> students to</w:t>
      </w:r>
      <w:r>
        <w:rPr>
          <w:lang w:val="en-GB"/>
        </w:rPr>
        <w:t xml:space="preserve"> engage across the College as well as the wider University. </w:t>
      </w:r>
    </w:p>
    <w:p w14:paraId="644103EB" w14:textId="700665CD" w:rsidR="002348CD" w:rsidRPr="00FA2D5D" w:rsidRDefault="002348CD" w:rsidP="00FA2D5D">
      <w:pPr>
        <w:pStyle w:val="ListParagraph"/>
        <w:numPr>
          <w:ilvl w:val="1"/>
          <w:numId w:val="2"/>
        </w:numPr>
        <w:jc w:val="both"/>
        <w:rPr>
          <w:i/>
          <w:iCs/>
          <w:lang w:val="en-GB"/>
        </w:rPr>
      </w:pPr>
      <w:r>
        <w:rPr>
          <w:lang w:val="en-GB"/>
        </w:rPr>
        <w:t xml:space="preserve">Seek resources for interdisciplinary research </w:t>
      </w:r>
      <w:r w:rsidR="001B6A80">
        <w:rPr>
          <w:lang w:val="en-GB"/>
        </w:rPr>
        <w:t xml:space="preserve">and networking </w:t>
      </w:r>
      <w:r>
        <w:rPr>
          <w:lang w:val="en-GB"/>
        </w:rPr>
        <w:t>events</w:t>
      </w:r>
      <w:r w:rsidR="001B6A80">
        <w:rPr>
          <w:lang w:val="en-GB"/>
        </w:rPr>
        <w:t xml:space="preserve"> that include PGRs as well as more senior researchers</w:t>
      </w:r>
      <w:r>
        <w:rPr>
          <w:lang w:val="en-GB"/>
        </w:rPr>
        <w:t xml:space="preserve">. </w:t>
      </w:r>
    </w:p>
    <w:p w14:paraId="38A1A6FA" w14:textId="3213E8B9" w:rsidR="00131826" w:rsidRDefault="00131826" w:rsidP="000D408F">
      <w:pPr>
        <w:pStyle w:val="ListParagraph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Facilitate engagement with the wider community – beyond the University. </w:t>
      </w:r>
    </w:p>
    <w:p w14:paraId="3592AE96" w14:textId="4DE86EF8" w:rsidR="00131826" w:rsidRDefault="00131826" w:rsidP="00FA2D5D">
      <w:pPr>
        <w:pStyle w:val="ListParagraph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lastRenderedPageBreak/>
        <w:t xml:space="preserve">Seek resources to bring external community members into PGR events. </w:t>
      </w:r>
    </w:p>
    <w:p w14:paraId="4FF20B52" w14:textId="1F4F9AA0" w:rsidR="00D17AE8" w:rsidRDefault="00D17AE8" w:rsidP="000D408F">
      <w:pPr>
        <w:jc w:val="both"/>
        <w:rPr>
          <w:lang w:val="en-GB"/>
        </w:rPr>
      </w:pPr>
    </w:p>
    <w:p w14:paraId="4BEBAE5C" w14:textId="5ECA4BC7" w:rsidR="001D0439" w:rsidRPr="001D0439" w:rsidRDefault="001D0439" w:rsidP="000D408F">
      <w:pPr>
        <w:jc w:val="both"/>
        <w:rPr>
          <w:b/>
          <w:bCs/>
          <w:lang w:val="en-GB"/>
        </w:rPr>
      </w:pPr>
      <w:r w:rsidRPr="001D0439">
        <w:rPr>
          <w:b/>
          <w:bCs/>
          <w:lang w:val="en-GB"/>
        </w:rPr>
        <w:t>Progress and Assessment</w:t>
      </w:r>
    </w:p>
    <w:p w14:paraId="11C9FC38" w14:textId="0CDDAB8A" w:rsidR="001D0439" w:rsidRDefault="001D0439" w:rsidP="000D408F">
      <w:pPr>
        <w:jc w:val="both"/>
        <w:rPr>
          <w:lang w:val="en-GB"/>
        </w:rPr>
      </w:pPr>
    </w:p>
    <w:p w14:paraId="2F0A93A4" w14:textId="7FD72D58" w:rsidR="001D0439" w:rsidRDefault="001D0439" w:rsidP="000D408F">
      <w:pPr>
        <w:jc w:val="both"/>
        <w:rPr>
          <w:lang w:val="en-GB"/>
        </w:rPr>
      </w:pPr>
      <w:r w:rsidRPr="00041E02">
        <w:rPr>
          <w:i/>
          <w:iCs/>
          <w:lang w:val="en-GB"/>
        </w:rPr>
        <w:t>Issues:</w:t>
      </w:r>
      <w:r w:rsidR="00041E02">
        <w:rPr>
          <w:lang w:val="en-GB"/>
        </w:rPr>
        <w:t xml:space="preserve"> The School of Law received, o</w:t>
      </w:r>
      <w:r w:rsidR="00041E02" w:rsidRPr="00041E02">
        <w:rPr>
          <w:lang w:val="en-GB"/>
        </w:rPr>
        <w:t xml:space="preserve">verall, </w:t>
      </w:r>
      <w:r w:rsidR="00041E02">
        <w:rPr>
          <w:lang w:val="en-GB"/>
        </w:rPr>
        <w:t>positive feedback</w:t>
      </w:r>
      <w:r w:rsidR="00041E02" w:rsidRPr="00041E02">
        <w:rPr>
          <w:lang w:val="en-GB"/>
        </w:rPr>
        <w:t xml:space="preserve"> on progress and assessment. </w:t>
      </w:r>
      <w:r w:rsidR="00041E02">
        <w:rPr>
          <w:lang w:val="en-GB"/>
        </w:rPr>
        <w:t>However, there was some concern</w:t>
      </w:r>
      <w:r w:rsidR="00041E02" w:rsidRPr="00041E02">
        <w:rPr>
          <w:lang w:val="en-GB"/>
        </w:rPr>
        <w:t xml:space="preserve"> regarding an appropriate induction/orientation.</w:t>
      </w:r>
    </w:p>
    <w:p w14:paraId="58BF0B3F" w14:textId="12E80330" w:rsidR="001D0439" w:rsidRDefault="001D0439" w:rsidP="000D408F">
      <w:pPr>
        <w:jc w:val="both"/>
        <w:rPr>
          <w:lang w:val="en-GB"/>
        </w:rPr>
      </w:pPr>
    </w:p>
    <w:p w14:paraId="65ECD3BB" w14:textId="71DF91C7" w:rsidR="00041E02" w:rsidRPr="00041E02" w:rsidRDefault="00041E02" w:rsidP="000D408F">
      <w:pPr>
        <w:jc w:val="both"/>
        <w:rPr>
          <w:i/>
          <w:iCs/>
          <w:lang w:val="en-GB"/>
        </w:rPr>
      </w:pPr>
      <w:r w:rsidRPr="00041E02">
        <w:rPr>
          <w:i/>
          <w:iCs/>
          <w:lang w:val="en-GB"/>
        </w:rPr>
        <w:t>Action Points:</w:t>
      </w:r>
    </w:p>
    <w:p w14:paraId="4CAF63DF" w14:textId="77777777" w:rsidR="00CE199E" w:rsidRDefault="00032EA7" w:rsidP="00FA2D5D">
      <w:pPr>
        <w:pStyle w:val="ListParagraph"/>
        <w:numPr>
          <w:ilvl w:val="0"/>
          <w:numId w:val="10"/>
        </w:numPr>
        <w:ind w:left="709"/>
        <w:rPr>
          <w:lang w:val="en-GB"/>
        </w:rPr>
      </w:pPr>
      <w:r>
        <w:rPr>
          <w:lang w:val="en-GB"/>
        </w:rPr>
        <w:t>Provide more detail in the College orientation/induction. Including involving representatives from various schools and disciplines.</w:t>
      </w:r>
    </w:p>
    <w:p w14:paraId="4ABBC880" w14:textId="2D79A804" w:rsidR="00032EA7" w:rsidRDefault="000A7C78" w:rsidP="00CE199E">
      <w:pPr>
        <w:pStyle w:val="ListParagraph"/>
        <w:numPr>
          <w:ilvl w:val="0"/>
          <w:numId w:val="9"/>
        </w:numPr>
        <w:jc w:val="both"/>
        <w:rPr>
          <w:lang w:val="en-GB"/>
        </w:rPr>
      </w:pPr>
      <w:r w:rsidRPr="00CE199E">
        <w:rPr>
          <w:lang w:val="en-GB"/>
        </w:rPr>
        <w:t xml:space="preserve">Request College office inform Vice Dean and PhD Directors of scheduled </w:t>
      </w:r>
      <w:r w:rsidRPr="00FA2D5D">
        <w:rPr>
          <w:i/>
          <w:iCs/>
          <w:lang w:val="en-GB"/>
        </w:rPr>
        <w:t>vivas</w:t>
      </w:r>
      <w:r w:rsidRPr="00CE199E">
        <w:rPr>
          <w:lang w:val="en-GB"/>
        </w:rPr>
        <w:t xml:space="preserve"> and outcomes. </w:t>
      </w:r>
    </w:p>
    <w:p w14:paraId="3FF86B43" w14:textId="7C757BCD" w:rsidR="00CE199E" w:rsidRPr="00CE199E" w:rsidRDefault="00CE199E" w:rsidP="00FA2D5D">
      <w:pPr>
        <w:pStyle w:val="ListParagraph"/>
        <w:numPr>
          <w:ilvl w:val="0"/>
          <w:numId w:val="9"/>
        </w:numPr>
        <w:jc w:val="both"/>
        <w:rPr>
          <w:lang w:val="en-GB"/>
        </w:rPr>
      </w:pPr>
      <w:r w:rsidRPr="00CE199E">
        <w:rPr>
          <w:lang w:val="en-GB"/>
        </w:rPr>
        <w:t xml:space="preserve">Ensure students that start after the September orientation/induction have all appropriate information.  </w:t>
      </w:r>
    </w:p>
    <w:p w14:paraId="74657C83" w14:textId="6C3CBEBD" w:rsidR="00D17AE8" w:rsidRDefault="00D17AE8" w:rsidP="000D408F">
      <w:pPr>
        <w:jc w:val="both"/>
        <w:rPr>
          <w:lang w:val="en-GB"/>
        </w:rPr>
      </w:pPr>
    </w:p>
    <w:p w14:paraId="716E5231" w14:textId="0F9DCB89" w:rsidR="00D17AE8" w:rsidRPr="000D408F" w:rsidRDefault="000D408F" w:rsidP="000D408F">
      <w:pPr>
        <w:jc w:val="both"/>
        <w:rPr>
          <w:b/>
          <w:bCs/>
          <w:lang w:val="en-GB"/>
        </w:rPr>
      </w:pPr>
      <w:r w:rsidRPr="000D408F">
        <w:rPr>
          <w:b/>
          <w:bCs/>
          <w:lang w:val="en-GB"/>
        </w:rPr>
        <w:t xml:space="preserve">Research </w:t>
      </w:r>
      <w:r w:rsidR="00D17AE8" w:rsidRPr="000D408F">
        <w:rPr>
          <w:b/>
          <w:bCs/>
          <w:lang w:val="en-GB"/>
        </w:rPr>
        <w:t xml:space="preserve">Skills </w:t>
      </w:r>
    </w:p>
    <w:p w14:paraId="33960DA7" w14:textId="1E969311" w:rsidR="000D408F" w:rsidRDefault="000D408F" w:rsidP="000D408F">
      <w:pPr>
        <w:jc w:val="both"/>
        <w:rPr>
          <w:lang w:val="en-GB"/>
        </w:rPr>
      </w:pPr>
    </w:p>
    <w:p w14:paraId="1194AD06" w14:textId="25E75EE1" w:rsidR="000D408F" w:rsidRDefault="000D408F" w:rsidP="000D408F">
      <w:pPr>
        <w:jc w:val="both"/>
        <w:rPr>
          <w:lang w:val="en-GB"/>
        </w:rPr>
      </w:pPr>
      <w:r w:rsidRPr="00F23789">
        <w:rPr>
          <w:i/>
          <w:iCs/>
          <w:lang w:val="en-GB"/>
        </w:rPr>
        <w:t>Issues:</w:t>
      </w:r>
      <w:r>
        <w:rPr>
          <w:lang w:val="en-GB"/>
        </w:rPr>
        <w:t xml:space="preserve"> </w:t>
      </w:r>
      <w:r w:rsidR="00CE199E">
        <w:rPr>
          <w:lang w:val="en-GB"/>
        </w:rPr>
        <w:t>The School of Law received, o</w:t>
      </w:r>
      <w:r w:rsidR="00CE199E" w:rsidRPr="00041E02">
        <w:rPr>
          <w:lang w:val="en-GB"/>
        </w:rPr>
        <w:t xml:space="preserve">verall, </w:t>
      </w:r>
      <w:r w:rsidR="00CE199E">
        <w:rPr>
          <w:lang w:val="en-GB"/>
        </w:rPr>
        <w:t>positive feedback</w:t>
      </w:r>
      <w:r w:rsidR="00CE199E" w:rsidRPr="00041E02">
        <w:rPr>
          <w:lang w:val="en-GB"/>
        </w:rPr>
        <w:t xml:space="preserve"> on </w:t>
      </w:r>
      <w:r w:rsidR="00CE199E">
        <w:rPr>
          <w:lang w:val="en-GB"/>
        </w:rPr>
        <w:t>research skills.</w:t>
      </w:r>
      <w:r w:rsidR="00F23789">
        <w:rPr>
          <w:lang w:val="en-GB"/>
        </w:rPr>
        <w:t xml:space="preserve"> </w:t>
      </w:r>
    </w:p>
    <w:p w14:paraId="0500B7DC" w14:textId="079A1E76" w:rsidR="000D408F" w:rsidRDefault="000D408F" w:rsidP="000D408F">
      <w:pPr>
        <w:jc w:val="both"/>
        <w:rPr>
          <w:lang w:val="en-GB"/>
        </w:rPr>
      </w:pPr>
    </w:p>
    <w:p w14:paraId="3E8F366F" w14:textId="741E5C75" w:rsidR="000D408F" w:rsidRPr="00041E02" w:rsidRDefault="000D408F" w:rsidP="000D408F">
      <w:pPr>
        <w:jc w:val="both"/>
        <w:rPr>
          <w:i/>
          <w:iCs/>
          <w:lang w:val="en-GB"/>
        </w:rPr>
      </w:pPr>
      <w:r w:rsidRPr="00041E02">
        <w:rPr>
          <w:i/>
          <w:iCs/>
          <w:lang w:val="en-GB"/>
        </w:rPr>
        <w:t xml:space="preserve">Action Points: </w:t>
      </w:r>
    </w:p>
    <w:p w14:paraId="36F5DBF3" w14:textId="382FABE4" w:rsidR="00D17AE8" w:rsidRDefault="00F23789" w:rsidP="000D408F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Highlight </w:t>
      </w:r>
      <w:r w:rsidR="001A29D7">
        <w:rPr>
          <w:lang w:val="en-GB"/>
        </w:rPr>
        <w:t>training that is available – especially required trainings such as the Research Integrity Workshop</w:t>
      </w:r>
      <w:r>
        <w:rPr>
          <w:lang w:val="en-GB"/>
        </w:rPr>
        <w:t xml:space="preserve">. </w:t>
      </w:r>
    </w:p>
    <w:p w14:paraId="41D77509" w14:textId="4BCDE87E" w:rsidR="00D17AE8" w:rsidRDefault="00D17AE8" w:rsidP="000D408F">
      <w:pPr>
        <w:jc w:val="both"/>
        <w:rPr>
          <w:lang w:val="en-GB"/>
        </w:rPr>
      </w:pPr>
    </w:p>
    <w:p w14:paraId="355D0A82" w14:textId="624CA5B7" w:rsidR="000D408F" w:rsidRPr="000D408F" w:rsidRDefault="000D408F" w:rsidP="000D408F">
      <w:pPr>
        <w:jc w:val="both"/>
        <w:rPr>
          <w:b/>
          <w:bCs/>
          <w:lang w:val="en-GB"/>
        </w:rPr>
      </w:pPr>
      <w:r w:rsidRPr="000D408F">
        <w:rPr>
          <w:b/>
          <w:bCs/>
          <w:lang w:val="en-GB"/>
        </w:rPr>
        <w:t>Other Transferrable Skills</w:t>
      </w:r>
    </w:p>
    <w:p w14:paraId="317E5538" w14:textId="569802DC" w:rsidR="000D408F" w:rsidRDefault="000D408F" w:rsidP="000D408F">
      <w:pPr>
        <w:jc w:val="both"/>
        <w:rPr>
          <w:lang w:val="en-GB"/>
        </w:rPr>
      </w:pPr>
    </w:p>
    <w:p w14:paraId="20B290A2" w14:textId="7016603E" w:rsidR="000D408F" w:rsidRDefault="000D408F" w:rsidP="000D408F">
      <w:pPr>
        <w:jc w:val="both"/>
        <w:rPr>
          <w:lang w:val="en-GB"/>
        </w:rPr>
      </w:pPr>
      <w:r w:rsidRPr="00576772">
        <w:rPr>
          <w:i/>
          <w:iCs/>
          <w:lang w:val="en-GB"/>
        </w:rPr>
        <w:t>Issues:</w:t>
      </w:r>
      <w:r>
        <w:rPr>
          <w:lang w:val="en-GB"/>
        </w:rPr>
        <w:t xml:space="preserve"> </w:t>
      </w:r>
      <w:r w:rsidR="00576772">
        <w:rPr>
          <w:lang w:val="en-GB"/>
        </w:rPr>
        <w:t>The School of Law received q</w:t>
      </w:r>
      <w:r w:rsidR="00576772" w:rsidRPr="00576772">
        <w:rPr>
          <w:lang w:val="en-GB"/>
        </w:rPr>
        <w:t xml:space="preserve">uite </w:t>
      </w:r>
      <w:r w:rsidR="00576772">
        <w:rPr>
          <w:lang w:val="en-GB"/>
        </w:rPr>
        <w:t xml:space="preserve">positive feedback, </w:t>
      </w:r>
      <w:r w:rsidR="00576772" w:rsidRPr="00576772">
        <w:rPr>
          <w:lang w:val="en-GB"/>
        </w:rPr>
        <w:t xml:space="preserve">overall </w:t>
      </w:r>
      <w:r w:rsidR="00184253">
        <w:rPr>
          <w:lang w:val="en-GB"/>
        </w:rPr>
        <w:t>on transferrable skills</w:t>
      </w:r>
      <w:r w:rsidR="00576772" w:rsidRPr="00576772">
        <w:rPr>
          <w:lang w:val="en-GB"/>
        </w:rPr>
        <w:t xml:space="preserve">. </w:t>
      </w:r>
    </w:p>
    <w:p w14:paraId="1A2FCAB5" w14:textId="368032D5" w:rsidR="000D408F" w:rsidRDefault="000D408F" w:rsidP="000D408F">
      <w:pPr>
        <w:jc w:val="both"/>
        <w:rPr>
          <w:lang w:val="en-GB"/>
        </w:rPr>
      </w:pPr>
    </w:p>
    <w:p w14:paraId="6F2AEE3E" w14:textId="2FAB0575" w:rsidR="000D408F" w:rsidRPr="00576772" w:rsidRDefault="000D408F" w:rsidP="000D408F">
      <w:pPr>
        <w:jc w:val="both"/>
        <w:rPr>
          <w:i/>
          <w:iCs/>
          <w:lang w:val="en-GB"/>
        </w:rPr>
      </w:pPr>
      <w:r w:rsidRPr="00576772">
        <w:rPr>
          <w:i/>
          <w:iCs/>
          <w:lang w:val="en-GB"/>
        </w:rPr>
        <w:t>Action Points:</w:t>
      </w:r>
    </w:p>
    <w:p w14:paraId="16A6ECEE" w14:textId="570C0445" w:rsidR="00510AB0" w:rsidRDefault="00510AB0" w:rsidP="000D408F">
      <w:pPr>
        <w:pStyle w:val="ListParagraph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Continue providing access to the PGR fund for students to gain transferrable skills, such as presenting to diverse audiences. </w:t>
      </w:r>
    </w:p>
    <w:p w14:paraId="1B3E2B9F" w14:textId="4EFD35BD" w:rsidR="00D17AE8" w:rsidRDefault="00D17AE8" w:rsidP="000D408F">
      <w:pPr>
        <w:jc w:val="both"/>
        <w:rPr>
          <w:lang w:val="en-GB"/>
        </w:rPr>
      </w:pPr>
    </w:p>
    <w:p w14:paraId="63038480" w14:textId="756DD631" w:rsidR="000D408F" w:rsidRPr="000D408F" w:rsidRDefault="000D408F" w:rsidP="000D408F">
      <w:pPr>
        <w:jc w:val="both"/>
        <w:rPr>
          <w:b/>
          <w:bCs/>
          <w:lang w:val="en-GB"/>
        </w:rPr>
      </w:pPr>
      <w:r w:rsidRPr="000D408F">
        <w:rPr>
          <w:b/>
          <w:bCs/>
          <w:lang w:val="en-GB"/>
        </w:rPr>
        <w:t>Responsibilities and Support/Personal Outlook</w:t>
      </w:r>
    </w:p>
    <w:p w14:paraId="0C4E02D0" w14:textId="11BF0B0C" w:rsidR="000D408F" w:rsidRDefault="000D408F" w:rsidP="000D408F">
      <w:pPr>
        <w:jc w:val="both"/>
        <w:rPr>
          <w:lang w:val="en-GB"/>
        </w:rPr>
      </w:pPr>
    </w:p>
    <w:p w14:paraId="691790F7" w14:textId="336CA1C5" w:rsidR="000D408F" w:rsidRDefault="000D408F" w:rsidP="000D408F">
      <w:pPr>
        <w:jc w:val="both"/>
        <w:rPr>
          <w:lang w:val="en-GB"/>
        </w:rPr>
      </w:pPr>
      <w:r w:rsidRPr="00317FA5">
        <w:rPr>
          <w:i/>
          <w:iCs/>
          <w:lang w:val="en-GB"/>
        </w:rPr>
        <w:t>Issues:</w:t>
      </w:r>
      <w:r>
        <w:rPr>
          <w:lang w:val="en-GB"/>
        </w:rPr>
        <w:t xml:space="preserve"> </w:t>
      </w:r>
      <w:r w:rsidR="00317FA5">
        <w:rPr>
          <w:lang w:val="en-GB"/>
        </w:rPr>
        <w:t>The School of Law received q</w:t>
      </w:r>
      <w:r w:rsidR="00317FA5" w:rsidRPr="00317FA5">
        <w:rPr>
          <w:lang w:val="en-GB"/>
        </w:rPr>
        <w:t xml:space="preserve">uite </w:t>
      </w:r>
      <w:r w:rsidR="0063429B">
        <w:rPr>
          <w:lang w:val="en-GB"/>
        </w:rPr>
        <w:t>positive</w:t>
      </w:r>
      <w:r w:rsidR="00317FA5" w:rsidRPr="00317FA5">
        <w:rPr>
          <w:lang w:val="en-GB"/>
        </w:rPr>
        <w:t xml:space="preserve"> </w:t>
      </w:r>
      <w:r w:rsidR="00317FA5">
        <w:rPr>
          <w:lang w:val="en-GB"/>
        </w:rPr>
        <w:t xml:space="preserve">feedback </w:t>
      </w:r>
      <w:r w:rsidR="00317FA5" w:rsidRPr="00317FA5">
        <w:rPr>
          <w:lang w:val="en-GB"/>
        </w:rPr>
        <w:t xml:space="preserve">overall - however, </w:t>
      </w:r>
      <w:r w:rsidR="00317FA5">
        <w:rPr>
          <w:lang w:val="en-GB"/>
        </w:rPr>
        <w:t>there is a</w:t>
      </w:r>
      <w:r w:rsidR="00317FA5" w:rsidRPr="00317FA5">
        <w:rPr>
          <w:lang w:val="en-GB"/>
        </w:rPr>
        <w:t xml:space="preserve"> need to do significant work on making students aware of supports available.</w:t>
      </w:r>
      <w:r w:rsidR="00317FA5">
        <w:rPr>
          <w:lang w:val="en-GB"/>
        </w:rPr>
        <w:t xml:space="preserve"> </w:t>
      </w:r>
    </w:p>
    <w:p w14:paraId="2738D269" w14:textId="49ECD532" w:rsidR="000D408F" w:rsidRDefault="000D408F" w:rsidP="000D408F">
      <w:pPr>
        <w:jc w:val="both"/>
        <w:rPr>
          <w:lang w:val="en-GB"/>
        </w:rPr>
      </w:pPr>
    </w:p>
    <w:p w14:paraId="1DBBAAD8" w14:textId="24CE7F55" w:rsidR="000D408F" w:rsidRPr="00317FA5" w:rsidRDefault="000D408F" w:rsidP="000D408F">
      <w:pPr>
        <w:jc w:val="both"/>
        <w:rPr>
          <w:i/>
          <w:iCs/>
          <w:lang w:val="en-GB"/>
        </w:rPr>
      </w:pPr>
      <w:r w:rsidRPr="00317FA5">
        <w:rPr>
          <w:i/>
          <w:iCs/>
          <w:lang w:val="en-GB"/>
        </w:rPr>
        <w:t xml:space="preserve">Action Points: </w:t>
      </w:r>
    </w:p>
    <w:p w14:paraId="7ABE5522" w14:textId="77777777" w:rsidR="0063429B" w:rsidRDefault="00DB49C5" w:rsidP="000D408F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Email </w:t>
      </w:r>
      <w:r w:rsidR="0063429B">
        <w:rPr>
          <w:lang w:val="en-GB"/>
        </w:rPr>
        <w:t xml:space="preserve">to PGRs </w:t>
      </w:r>
      <w:r>
        <w:rPr>
          <w:lang w:val="en-GB"/>
        </w:rPr>
        <w:t>with resources</w:t>
      </w:r>
      <w:r w:rsidR="0063429B">
        <w:rPr>
          <w:lang w:val="en-GB"/>
        </w:rPr>
        <w:t xml:space="preserve">. </w:t>
      </w:r>
    </w:p>
    <w:p w14:paraId="0463BC1C" w14:textId="2DA79BEB" w:rsidR="00D17AE8" w:rsidRDefault="0063429B" w:rsidP="000D408F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More </w:t>
      </w:r>
      <w:r w:rsidR="00DB49C5">
        <w:rPr>
          <w:lang w:val="en-GB"/>
        </w:rPr>
        <w:t>in</w:t>
      </w:r>
      <w:r>
        <w:rPr>
          <w:lang w:val="en-GB"/>
        </w:rPr>
        <w:t>formation</w:t>
      </w:r>
      <w:r w:rsidR="00DB49C5">
        <w:rPr>
          <w:lang w:val="en-GB"/>
        </w:rPr>
        <w:t xml:space="preserve"> </w:t>
      </w:r>
      <w:r>
        <w:rPr>
          <w:lang w:val="en-GB"/>
        </w:rPr>
        <w:t xml:space="preserve">available </w:t>
      </w:r>
      <w:r w:rsidR="00DB49C5">
        <w:rPr>
          <w:lang w:val="en-GB"/>
        </w:rPr>
        <w:t>on website</w:t>
      </w:r>
      <w:r>
        <w:rPr>
          <w:lang w:val="en-GB"/>
        </w:rPr>
        <w:t>.</w:t>
      </w:r>
    </w:p>
    <w:p w14:paraId="7FBA4778" w14:textId="3D4A5839" w:rsidR="00DB49C5" w:rsidRDefault="00DB49C5" w:rsidP="000D408F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Regular </w:t>
      </w:r>
      <w:r w:rsidR="001204E4">
        <w:rPr>
          <w:lang w:val="en-GB"/>
        </w:rPr>
        <w:t>c</w:t>
      </w:r>
      <w:r>
        <w:rPr>
          <w:lang w:val="en-GB"/>
        </w:rPr>
        <w:t xml:space="preserve">offee </w:t>
      </w:r>
      <w:r w:rsidR="001204E4">
        <w:rPr>
          <w:lang w:val="en-GB"/>
        </w:rPr>
        <w:t>c</w:t>
      </w:r>
      <w:r>
        <w:rPr>
          <w:lang w:val="en-GB"/>
        </w:rPr>
        <w:t>atch</w:t>
      </w:r>
      <w:r w:rsidR="001204E4">
        <w:rPr>
          <w:lang w:val="en-GB"/>
        </w:rPr>
        <w:t>-</w:t>
      </w:r>
      <w:r>
        <w:rPr>
          <w:lang w:val="en-GB"/>
        </w:rPr>
        <w:t>ups</w:t>
      </w:r>
      <w:r w:rsidR="001204E4">
        <w:rPr>
          <w:lang w:val="en-GB"/>
        </w:rPr>
        <w:t xml:space="preserve">. </w:t>
      </w:r>
    </w:p>
    <w:p w14:paraId="669089FF" w14:textId="77777777" w:rsidR="00A85E20" w:rsidRDefault="00A85E20" w:rsidP="00A85E20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Wellbeing support officer extends assistance to PGR students – and engages with the students at various point, including orientation/indication, where possible. </w:t>
      </w:r>
    </w:p>
    <w:p w14:paraId="520AF6AB" w14:textId="6A1364D4" w:rsidR="00A85E20" w:rsidRDefault="00A85E20" w:rsidP="00A85E20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Engage the Vice Dean of EDI and Wellbeing officer in orientation/induction and a coffee morning meet and greet. </w:t>
      </w:r>
    </w:p>
    <w:p w14:paraId="5EF7B825" w14:textId="11F576F0" w:rsidR="00A85E20" w:rsidRDefault="00A85E20" w:rsidP="00A85E20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Increase in events to address issues related to Equality, Diversity, and Inclusion – for example, a new focus group on barriers to completion. </w:t>
      </w:r>
    </w:p>
    <w:p w14:paraId="63D49643" w14:textId="77777777" w:rsidR="004B2ABE" w:rsidRPr="004B2ABE" w:rsidRDefault="004B2ABE" w:rsidP="000D408F">
      <w:pPr>
        <w:jc w:val="both"/>
        <w:rPr>
          <w:lang w:val="en-GB"/>
        </w:rPr>
      </w:pPr>
    </w:p>
    <w:p w14:paraId="76C698EF" w14:textId="23B9485B" w:rsidR="00D17AE8" w:rsidRPr="000D408F" w:rsidRDefault="000D408F" w:rsidP="000D408F">
      <w:pPr>
        <w:jc w:val="both"/>
        <w:rPr>
          <w:b/>
          <w:bCs/>
          <w:lang w:val="en-GB"/>
        </w:rPr>
      </w:pPr>
      <w:r w:rsidRPr="000D408F">
        <w:rPr>
          <w:b/>
          <w:bCs/>
          <w:lang w:val="en-GB"/>
        </w:rPr>
        <w:lastRenderedPageBreak/>
        <w:t>Development Opportunities</w:t>
      </w:r>
    </w:p>
    <w:p w14:paraId="4C5AD9EA" w14:textId="161986EE" w:rsidR="00D17AE8" w:rsidRDefault="00D17AE8" w:rsidP="000D408F">
      <w:pPr>
        <w:jc w:val="both"/>
        <w:rPr>
          <w:lang w:val="en-GB"/>
        </w:rPr>
      </w:pPr>
    </w:p>
    <w:p w14:paraId="6C5A10F4" w14:textId="42F75591" w:rsidR="000D408F" w:rsidRDefault="000D408F" w:rsidP="000D408F">
      <w:pPr>
        <w:jc w:val="both"/>
        <w:rPr>
          <w:lang w:val="en-GB"/>
        </w:rPr>
      </w:pPr>
      <w:r w:rsidRPr="000D408F">
        <w:rPr>
          <w:i/>
          <w:iCs/>
          <w:lang w:val="en-GB"/>
        </w:rPr>
        <w:t>Issues:</w:t>
      </w:r>
      <w:r>
        <w:rPr>
          <w:lang w:val="en-GB"/>
        </w:rPr>
        <w:t xml:space="preserve"> D</w:t>
      </w:r>
      <w:r w:rsidRPr="000D408F">
        <w:rPr>
          <w:lang w:val="en-GB"/>
        </w:rPr>
        <w:t xml:space="preserve">evelopment opportunities could be improved. </w:t>
      </w:r>
      <w:r>
        <w:rPr>
          <w:lang w:val="en-GB"/>
        </w:rPr>
        <w:t>The School of Law has</w:t>
      </w:r>
      <w:r w:rsidRPr="000D408F">
        <w:rPr>
          <w:lang w:val="en-GB"/>
        </w:rPr>
        <w:t xml:space="preserve"> lower scores than the wider university </w:t>
      </w:r>
      <w:r>
        <w:rPr>
          <w:lang w:val="en-GB"/>
        </w:rPr>
        <w:t xml:space="preserve">for opportunities for </w:t>
      </w:r>
      <w:r w:rsidRPr="000D408F">
        <w:rPr>
          <w:lang w:val="en-GB"/>
        </w:rPr>
        <w:t>attending conference</w:t>
      </w:r>
      <w:r>
        <w:rPr>
          <w:lang w:val="en-GB"/>
        </w:rPr>
        <w:t>s.</w:t>
      </w:r>
      <w:r w:rsidRPr="000D408F">
        <w:rPr>
          <w:lang w:val="en-GB"/>
        </w:rPr>
        <w:t xml:space="preserve"> </w:t>
      </w:r>
      <w:r w:rsidR="001B1631">
        <w:rPr>
          <w:lang w:val="en-GB"/>
        </w:rPr>
        <w:t>The School of Law</w:t>
      </w:r>
      <w:r w:rsidRPr="000D408F">
        <w:rPr>
          <w:lang w:val="en-GB"/>
        </w:rPr>
        <w:t xml:space="preserve"> could also improve on supporting PGRs with publications and communicating research. In addition, </w:t>
      </w:r>
      <w:r w:rsidR="001B1631">
        <w:rPr>
          <w:lang w:val="en-GB"/>
        </w:rPr>
        <w:t>the School</w:t>
      </w:r>
      <w:r w:rsidRPr="000D408F">
        <w:rPr>
          <w:lang w:val="en-GB"/>
        </w:rPr>
        <w:t xml:space="preserve"> </w:t>
      </w:r>
      <w:r w:rsidR="001B1631">
        <w:rPr>
          <w:lang w:val="en-GB"/>
        </w:rPr>
        <w:t>has</w:t>
      </w:r>
      <w:r w:rsidRPr="000D408F">
        <w:rPr>
          <w:lang w:val="en-GB"/>
        </w:rPr>
        <w:t xml:space="preserve"> very low scores regarding industry collaboration. </w:t>
      </w:r>
      <w:r w:rsidR="001B1631">
        <w:rPr>
          <w:lang w:val="en-GB"/>
        </w:rPr>
        <w:t>The</w:t>
      </w:r>
      <w:r w:rsidRPr="000D408F">
        <w:rPr>
          <w:lang w:val="en-GB"/>
        </w:rPr>
        <w:t xml:space="preserve"> </w:t>
      </w:r>
      <w:r w:rsidR="001B1631">
        <w:rPr>
          <w:lang w:val="en-GB"/>
        </w:rPr>
        <w:t>S</w:t>
      </w:r>
      <w:r w:rsidRPr="000D408F">
        <w:rPr>
          <w:lang w:val="en-GB"/>
        </w:rPr>
        <w:t>chool could also improve on PRG time spent abroad</w:t>
      </w:r>
      <w:r w:rsidR="001B1631">
        <w:rPr>
          <w:lang w:val="en-GB"/>
        </w:rPr>
        <w:t xml:space="preserve">. </w:t>
      </w:r>
    </w:p>
    <w:p w14:paraId="5575E038" w14:textId="2627B796" w:rsidR="000D408F" w:rsidRDefault="000D408F" w:rsidP="000D408F">
      <w:pPr>
        <w:jc w:val="both"/>
        <w:rPr>
          <w:lang w:val="en-GB"/>
        </w:rPr>
      </w:pPr>
    </w:p>
    <w:p w14:paraId="5CBAB6E7" w14:textId="74243890" w:rsidR="000D408F" w:rsidRPr="000D408F" w:rsidRDefault="000D408F" w:rsidP="000D408F">
      <w:pPr>
        <w:jc w:val="both"/>
        <w:rPr>
          <w:i/>
          <w:iCs/>
          <w:lang w:val="en-GB"/>
        </w:rPr>
      </w:pPr>
      <w:r w:rsidRPr="000D408F">
        <w:rPr>
          <w:i/>
          <w:iCs/>
          <w:lang w:val="en-GB"/>
        </w:rPr>
        <w:t xml:space="preserve">Action Points: </w:t>
      </w:r>
    </w:p>
    <w:p w14:paraId="2397F7FA" w14:textId="5CC35A79" w:rsidR="00D17AE8" w:rsidRDefault="000D408F" w:rsidP="000D408F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G</w:t>
      </w:r>
      <w:r w:rsidRPr="000D408F">
        <w:rPr>
          <w:lang w:val="en-GB"/>
        </w:rPr>
        <w:t>reater engagement with the Research Development Office.</w:t>
      </w:r>
    </w:p>
    <w:p w14:paraId="4D72B42A" w14:textId="310B6118" w:rsidR="000D408F" w:rsidRPr="000D408F" w:rsidRDefault="00FC5E7C" w:rsidP="000D408F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Continued availability of the</w:t>
      </w:r>
      <w:r w:rsidRPr="000D408F">
        <w:rPr>
          <w:lang w:val="en-GB"/>
        </w:rPr>
        <w:t xml:space="preserve"> </w:t>
      </w:r>
      <w:r w:rsidR="000D408F" w:rsidRPr="000D408F">
        <w:rPr>
          <w:lang w:val="en-GB"/>
        </w:rPr>
        <w:t>research fund for PGRs.</w:t>
      </w:r>
    </w:p>
    <w:p w14:paraId="1B74248E" w14:textId="77777777" w:rsidR="00D17AE8" w:rsidRPr="00D17AE8" w:rsidRDefault="00D17AE8" w:rsidP="000D408F">
      <w:pPr>
        <w:jc w:val="both"/>
        <w:rPr>
          <w:lang w:val="en-GB"/>
        </w:rPr>
      </w:pPr>
    </w:p>
    <w:sectPr w:rsidR="00D17AE8" w:rsidRPr="00D17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8F0"/>
    <w:multiLevelType w:val="hybridMultilevel"/>
    <w:tmpl w:val="9C2C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4EE"/>
    <w:multiLevelType w:val="hybridMultilevel"/>
    <w:tmpl w:val="0E2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599B"/>
    <w:multiLevelType w:val="hybridMultilevel"/>
    <w:tmpl w:val="1A1C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32D"/>
    <w:multiLevelType w:val="hybridMultilevel"/>
    <w:tmpl w:val="728AB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A36A03"/>
    <w:multiLevelType w:val="hybridMultilevel"/>
    <w:tmpl w:val="7892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968B1"/>
    <w:multiLevelType w:val="hybridMultilevel"/>
    <w:tmpl w:val="1576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77E9"/>
    <w:multiLevelType w:val="hybridMultilevel"/>
    <w:tmpl w:val="D988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310E4"/>
    <w:multiLevelType w:val="hybridMultilevel"/>
    <w:tmpl w:val="4AE80B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2D127A"/>
    <w:multiLevelType w:val="hybridMultilevel"/>
    <w:tmpl w:val="0322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2BF"/>
    <w:multiLevelType w:val="hybridMultilevel"/>
    <w:tmpl w:val="84CC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38360">
    <w:abstractNumId w:val="4"/>
  </w:num>
  <w:num w:numId="2" w16cid:durableId="199054250">
    <w:abstractNumId w:val="1"/>
  </w:num>
  <w:num w:numId="3" w16cid:durableId="1927104026">
    <w:abstractNumId w:val="8"/>
  </w:num>
  <w:num w:numId="4" w16cid:durableId="1243369490">
    <w:abstractNumId w:val="2"/>
  </w:num>
  <w:num w:numId="5" w16cid:durableId="546069092">
    <w:abstractNumId w:val="0"/>
  </w:num>
  <w:num w:numId="6" w16cid:durableId="1092971262">
    <w:abstractNumId w:val="6"/>
  </w:num>
  <w:num w:numId="7" w16cid:durableId="616836519">
    <w:abstractNumId w:val="9"/>
  </w:num>
  <w:num w:numId="8" w16cid:durableId="1305502248">
    <w:abstractNumId w:val="7"/>
  </w:num>
  <w:num w:numId="9" w16cid:durableId="9644045">
    <w:abstractNumId w:val="5"/>
  </w:num>
  <w:num w:numId="10" w16cid:durableId="1829514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E8"/>
    <w:rsid w:val="00027C68"/>
    <w:rsid w:val="00032EA7"/>
    <w:rsid w:val="0003726B"/>
    <w:rsid w:val="00041E02"/>
    <w:rsid w:val="000A7C78"/>
    <w:rsid w:val="000D408F"/>
    <w:rsid w:val="001204E4"/>
    <w:rsid w:val="00123F5B"/>
    <w:rsid w:val="00131826"/>
    <w:rsid w:val="00184253"/>
    <w:rsid w:val="001A29D7"/>
    <w:rsid w:val="001B1631"/>
    <w:rsid w:val="001B6A80"/>
    <w:rsid w:val="001C3081"/>
    <w:rsid w:val="001D0439"/>
    <w:rsid w:val="002348CD"/>
    <w:rsid w:val="00280D15"/>
    <w:rsid w:val="00317FA5"/>
    <w:rsid w:val="004A19B1"/>
    <w:rsid w:val="004B2ABE"/>
    <w:rsid w:val="00510AB0"/>
    <w:rsid w:val="00527B6C"/>
    <w:rsid w:val="00557B73"/>
    <w:rsid w:val="00576772"/>
    <w:rsid w:val="005A55DA"/>
    <w:rsid w:val="005D5330"/>
    <w:rsid w:val="0063429B"/>
    <w:rsid w:val="00653F64"/>
    <w:rsid w:val="006744A4"/>
    <w:rsid w:val="00675E14"/>
    <w:rsid w:val="007073E2"/>
    <w:rsid w:val="00767E4D"/>
    <w:rsid w:val="0086568F"/>
    <w:rsid w:val="00901FB7"/>
    <w:rsid w:val="009D53B1"/>
    <w:rsid w:val="009D7153"/>
    <w:rsid w:val="00A04488"/>
    <w:rsid w:val="00A16985"/>
    <w:rsid w:val="00A4384A"/>
    <w:rsid w:val="00A561FC"/>
    <w:rsid w:val="00A85E20"/>
    <w:rsid w:val="00AD3F72"/>
    <w:rsid w:val="00AF36D8"/>
    <w:rsid w:val="00B80A0B"/>
    <w:rsid w:val="00CE0D44"/>
    <w:rsid w:val="00CE199E"/>
    <w:rsid w:val="00CF3F43"/>
    <w:rsid w:val="00D17AE8"/>
    <w:rsid w:val="00D20E59"/>
    <w:rsid w:val="00D40D16"/>
    <w:rsid w:val="00DB49C5"/>
    <w:rsid w:val="00E6396B"/>
    <w:rsid w:val="00E95251"/>
    <w:rsid w:val="00EE1E8E"/>
    <w:rsid w:val="00F23789"/>
    <w:rsid w:val="00FA2D5D"/>
    <w:rsid w:val="00FC5E7C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81C6"/>
  <w15:chartTrackingRefBased/>
  <w15:docId w15:val="{CE8A9ABA-11F4-0D42-BAD3-7D58FF0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AE8"/>
    <w:pPr>
      <w:ind w:left="720"/>
      <w:contextualSpacing/>
    </w:pPr>
  </w:style>
  <w:style w:type="paragraph" w:styleId="Revision">
    <w:name w:val="Revision"/>
    <w:hidden/>
    <w:uiPriority w:val="99"/>
    <w:semiHidden/>
    <w:rsid w:val="0028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8" ma:contentTypeDescription="Create a new document." ma:contentTypeScope="" ma:versionID="d9111cc2c46a2ddf1f3432036e77444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43ef97ef01004ab7e56c245023f0d309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Props1.xml><?xml version="1.0" encoding="utf-8"?>
<ds:datastoreItem xmlns:ds="http://schemas.openxmlformats.org/officeDocument/2006/customXml" ds:itemID="{C482A339-2B9B-4B42-A0B9-8679D8BF544B}"/>
</file>

<file path=customXml/itemProps2.xml><?xml version="1.0" encoding="utf-8"?>
<ds:datastoreItem xmlns:ds="http://schemas.openxmlformats.org/officeDocument/2006/customXml" ds:itemID="{7E440EFC-595E-4A1B-9F4F-C7E78C2B0AAA}"/>
</file>

<file path=customXml/itemProps3.xml><?xml version="1.0" encoding="utf-8"?>
<ds:datastoreItem xmlns:ds="http://schemas.openxmlformats.org/officeDocument/2006/customXml" ds:itemID="{0D326AF2-FEB4-4DDC-B769-B27181FEB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Arstein-Kerslake</dc:creator>
  <cp:keywords/>
  <dc:description/>
  <cp:lastModifiedBy>Leech, Donal</cp:lastModifiedBy>
  <cp:revision>2</cp:revision>
  <dcterms:created xsi:type="dcterms:W3CDTF">2024-03-15T15:40:00Z</dcterms:created>
  <dcterms:modified xsi:type="dcterms:W3CDTF">2024-03-15T15:40:00Z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</Properties>
</file>