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8B5813" w14:textId="77777777" w:rsidR="00300FE9" w:rsidRDefault="00300FE9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</w:p>
    <w:p w14:paraId="38BEB443" w14:textId="34128861" w:rsidR="00656474" w:rsidRPr="00300FE9" w:rsidRDefault="00656474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 w:rsidRPr="00300FE9">
        <w:rPr>
          <w:rFonts w:asciiTheme="minorHAnsi" w:hAnsiTheme="minorHAnsi"/>
          <w:b/>
          <w:sz w:val="28"/>
          <w:szCs w:val="28"/>
        </w:rPr>
        <w:t xml:space="preserve">Postgraduate Research Students, </w:t>
      </w:r>
      <w:r w:rsidR="00291BFB">
        <w:rPr>
          <w:rFonts w:asciiTheme="minorHAnsi" w:hAnsiTheme="minorHAnsi"/>
          <w:b/>
          <w:sz w:val="28"/>
          <w:szCs w:val="28"/>
        </w:rPr>
        <w:t>University of</w:t>
      </w:r>
      <w:r w:rsidRPr="00300FE9">
        <w:rPr>
          <w:rFonts w:asciiTheme="minorHAnsi" w:hAnsiTheme="minorHAnsi"/>
          <w:b/>
          <w:sz w:val="28"/>
          <w:szCs w:val="28"/>
        </w:rPr>
        <w:t xml:space="preserve"> Galway</w:t>
      </w:r>
    </w:p>
    <w:p w14:paraId="0716335A" w14:textId="77777777" w:rsidR="0056260A" w:rsidRPr="00300FE9" w:rsidRDefault="004E41A6" w:rsidP="0056260A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 w:rsidRPr="00300FE9">
        <w:rPr>
          <w:rFonts w:asciiTheme="minorHAnsi" w:hAnsiTheme="minorHAnsi"/>
          <w:b/>
          <w:sz w:val="28"/>
          <w:szCs w:val="28"/>
        </w:rPr>
        <w:t xml:space="preserve">National Student Survey </w:t>
      </w:r>
    </w:p>
    <w:p w14:paraId="79BCC255" w14:textId="09C372D6" w:rsidR="00574A5C" w:rsidRPr="00300FE9" w:rsidRDefault="00574A5C" w:rsidP="00656474">
      <w:pPr>
        <w:spacing w:after="154" w:line="259" w:lineRule="auto"/>
        <w:ind w:left="-5"/>
        <w:jc w:val="center"/>
        <w:rPr>
          <w:rFonts w:asciiTheme="minorHAnsi" w:hAnsiTheme="minorHAnsi"/>
          <w:b/>
          <w:sz w:val="28"/>
          <w:szCs w:val="28"/>
        </w:rPr>
      </w:pPr>
      <w:r w:rsidRPr="00300FE9">
        <w:rPr>
          <w:rFonts w:asciiTheme="minorHAnsi" w:hAnsiTheme="minorHAnsi"/>
          <w:b/>
          <w:sz w:val="28"/>
          <w:szCs w:val="28"/>
        </w:rPr>
        <w:t xml:space="preserve">School of </w:t>
      </w:r>
      <w:r w:rsidR="00AB71A1">
        <w:rPr>
          <w:rFonts w:asciiTheme="minorHAnsi" w:hAnsiTheme="minorHAnsi"/>
          <w:b/>
          <w:sz w:val="28"/>
          <w:szCs w:val="28"/>
        </w:rPr>
        <w:t>Psychology</w:t>
      </w:r>
    </w:p>
    <w:p w14:paraId="59783163" w14:textId="2BA12AC0" w:rsidR="008504D9" w:rsidRDefault="00574A5C" w:rsidP="6D0C25CF">
      <w:pPr>
        <w:spacing w:after="154" w:line="259" w:lineRule="auto"/>
        <w:ind w:left="-5"/>
        <w:jc w:val="center"/>
        <w:rPr>
          <w:rFonts w:asciiTheme="minorHAnsi" w:hAnsiTheme="minorHAnsi"/>
          <w:b/>
          <w:bCs/>
          <w:sz w:val="28"/>
          <w:szCs w:val="28"/>
        </w:rPr>
      </w:pPr>
      <w:r w:rsidRPr="6D0C25CF">
        <w:rPr>
          <w:rFonts w:asciiTheme="minorHAnsi" w:hAnsiTheme="minorHAnsi"/>
          <w:b/>
          <w:bCs/>
          <w:sz w:val="28"/>
          <w:szCs w:val="28"/>
        </w:rPr>
        <w:t>202</w:t>
      </w:r>
      <w:r w:rsidR="7ABCC1DD" w:rsidRPr="6D0C25CF">
        <w:rPr>
          <w:rFonts w:asciiTheme="minorHAnsi" w:hAnsiTheme="minorHAnsi"/>
          <w:b/>
          <w:bCs/>
          <w:sz w:val="28"/>
          <w:szCs w:val="28"/>
        </w:rPr>
        <w:t>4</w:t>
      </w:r>
      <w:r w:rsidRPr="6D0C25CF">
        <w:rPr>
          <w:rFonts w:asciiTheme="minorHAnsi" w:hAnsiTheme="minorHAnsi"/>
          <w:b/>
          <w:bCs/>
          <w:sz w:val="28"/>
          <w:szCs w:val="28"/>
        </w:rPr>
        <w:t xml:space="preserve"> Action Plan</w:t>
      </w:r>
    </w:p>
    <w:tbl>
      <w:tblPr>
        <w:tblStyle w:val="TableGrid0"/>
        <w:tblW w:w="11227" w:type="dxa"/>
        <w:tblInd w:w="-5" w:type="dxa"/>
        <w:tblLook w:val="04A0" w:firstRow="1" w:lastRow="0" w:firstColumn="1" w:lastColumn="0" w:noHBand="0" w:noVBand="1"/>
      </w:tblPr>
      <w:tblGrid>
        <w:gridCol w:w="563"/>
        <w:gridCol w:w="1705"/>
        <w:gridCol w:w="6336"/>
        <w:gridCol w:w="1320"/>
        <w:gridCol w:w="1303"/>
      </w:tblGrid>
      <w:tr w:rsidR="001C66E1" w14:paraId="38797952" w14:textId="77777777" w:rsidTr="6D0C25CF">
        <w:tc>
          <w:tcPr>
            <w:tcW w:w="563" w:type="dxa"/>
          </w:tcPr>
          <w:p w14:paraId="77400FE7" w14:textId="442313BB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FAF1264" w14:textId="4312D285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36" w:type="dxa"/>
          </w:tcPr>
          <w:p w14:paraId="2A6181BD" w14:textId="7A279C1A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Action</w:t>
            </w:r>
            <w:r>
              <w:rPr>
                <w:rFonts w:asciiTheme="minorHAnsi" w:eastAsia="Arial" w:hAnsiTheme="minorHAnsi" w:cs="Arial"/>
                <w:b/>
                <w:sz w:val="22"/>
              </w:rPr>
              <w:t>s</w:t>
            </w:r>
          </w:p>
        </w:tc>
        <w:tc>
          <w:tcPr>
            <w:tcW w:w="1320" w:type="dxa"/>
          </w:tcPr>
          <w:p w14:paraId="79BAE96D" w14:textId="75A4E2F7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Responsible</w:t>
            </w:r>
          </w:p>
        </w:tc>
        <w:tc>
          <w:tcPr>
            <w:tcW w:w="1303" w:type="dxa"/>
          </w:tcPr>
          <w:p w14:paraId="704E2DF8" w14:textId="3FCEB1E9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Status</w:t>
            </w:r>
          </w:p>
          <w:p w14:paraId="0246804E" w14:textId="77777777" w:rsidR="00291A5B" w:rsidRPr="00300FE9" w:rsidRDefault="00291A5B" w:rsidP="00291A5B">
            <w:pPr>
              <w:pStyle w:val="NoSpacing"/>
              <w:ind w:firstLine="0"/>
              <w:rPr>
                <w:rFonts w:asciiTheme="minorHAnsi" w:hAnsiTheme="minorHAnsi" w:cstheme="minorHAnsi"/>
                <w:b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*Not Started </w:t>
            </w:r>
          </w:p>
          <w:p w14:paraId="65B4D187" w14:textId="77777777" w:rsidR="00291A5B" w:rsidRPr="00300FE9" w:rsidRDefault="00291A5B" w:rsidP="00291A5B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1299FC87" w14:textId="07D6357D" w:rsidR="00291A5B" w:rsidRPr="00291A5B" w:rsidRDefault="00291A5B" w:rsidP="00291A5B">
            <w:pPr>
              <w:pStyle w:val="NoSpacing"/>
              <w:rPr>
                <w:rFonts w:asciiTheme="minorHAnsi" w:hAnsiTheme="minorHAnsi" w:cstheme="minorHAnsi"/>
                <w:b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>*Complete</w:t>
            </w:r>
          </w:p>
        </w:tc>
      </w:tr>
      <w:tr w:rsidR="001C66E1" w14:paraId="0D32EF77" w14:textId="77777777" w:rsidTr="6D0C25CF">
        <w:tc>
          <w:tcPr>
            <w:tcW w:w="563" w:type="dxa"/>
          </w:tcPr>
          <w:p w14:paraId="67FD3EE7" w14:textId="22BCA113" w:rsidR="001C66E1" w:rsidRPr="00300FE9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sz w:val="22"/>
              </w:rPr>
            </w:pPr>
            <w:r w:rsidRPr="00300FE9">
              <w:rPr>
                <w:rFonts w:asciiTheme="minorHAnsi" w:eastAsia="Arial" w:hAnsiTheme="minorHAnsi" w:cs="Arial"/>
                <w:sz w:val="22"/>
              </w:rPr>
              <w:t>1</w:t>
            </w:r>
          </w:p>
        </w:tc>
        <w:tc>
          <w:tcPr>
            <w:tcW w:w="1705" w:type="dxa"/>
          </w:tcPr>
          <w:p w14:paraId="79631B80" w14:textId="397C1166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Research Infrastructure and Facilities</w:t>
            </w:r>
          </w:p>
        </w:tc>
        <w:tc>
          <w:tcPr>
            <w:tcW w:w="6336" w:type="dxa"/>
          </w:tcPr>
          <w:p w14:paraId="68373F71" w14:textId="5D02BF80" w:rsidR="00AB71A1" w:rsidRPr="00D27F26" w:rsidRDefault="00AB71A1" w:rsidP="75FE8FC5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Above average ratings of satisfaction on </w:t>
            </w:r>
            <w:r w:rsidR="10389E2B" w:rsidRPr="6D0C25CF">
              <w:rPr>
                <w:rFonts w:asciiTheme="minorHAnsi" w:hAnsiTheme="minorHAnsi"/>
                <w:i/>
                <w:iCs/>
                <w:sz w:val="22"/>
              </w:rPr>
              <w:t>many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 items in this category. Slightly lower rating for</w:t>
            </w:r>
            <w:r w:rsidR="00567159" w:rsidRPr="6D0C25CF">
              <w:rPr>
                <w:rFonts w:asciiTheme="minorHAnsi" w:hAnsiTheme="minorHAnsi"/>
                <w:i/>
                <w:iCs/>
                <w:sz w:val="22"/>
              </w:rPr>
              <w:t>: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 ‘There is adequate provision of computing resources / facilities’ </w:t>
            </w:r>
          </w:p>
          <w:p w14:paraId="48BEB9F9" w14:textId="5D02BF80" w:rsidR="00AB71A1" w:rsidRPr="00D27F26" w:rsidRDefault="00AB71A1" w:rsidP="75FE8FC5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sz w:val="22"/>
              </w:rPr>
            </w:pPr>
            <w:r w:rsidRPr="6D0C25CF">
              <w:rPr>
                <w:rFonts w:asciiTheme="minorHAnsi" w:hAnsiTheme="minorHAnsi"/>
                <w:b/>
                <w:bCs/>
                <w:sz w:val="22"/>
              </w:rPr>
              <w:t>Action</w:t>
            </w:r>
            <w:r w:rsidR="00D27F26" w:rsidRPr="6D0C25CF">
              <w:rPr>
                <w:rFonts w:asciiTheme="minorHAnsi" w:hAnsiTheme="minorHAnsi"/>
                <w:b/>
                <w:bCs/>
                <w:sz w:val="22"/>
              </w:rPr>
              <w:t>s</w:t>
            </w:r>
            <w:r w:rsidRPr="6D0C25CF">
              <w:rPr>
                <w:rFonts w:asciiTheme="minorHAnsi" w:hAnsiTheme="minorHAnsi"/>
                <w:b/>
                <w:bCs/>
                <w:sz w:val="22"/>
              </w:rPr>
              <w:t xml:space="preserve">: </w:t>
            </w:r>
          </w:p>
          <w:p w14:paraId="1EA199E4" w14:textId="6A013E2A" w:rsidR="00AB71A1" w:rsidRPr="00FA4DA0" w:rsidRDefault="00AB71A1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FA4DA0">
              <w:rPr>
                <w:rFonts w:asciiTheme="minorHAnsi" w:hAnsiTheme="minorHAnsi"/>
                <w:sz w:val="22"/>
              </w:rPr>
              <w:t>1.</w:t>
            </w:r>
            <w:r w:rsidR="6BE1E05A" w:rsidRPr="00FA4DA0">
              <w:rPr>
                <w:rFonts w:asciiTheme="minorHAnsi" w:hAnsiTheme="minorHAnsi"/>
                <w:sz w:val="22"/>
              </w:rPr>
              <w:t>1</w:t>
            </w:r>
            <w:r w:rsidRPr="00FA4DA0">
              <w:rPr>
                <w:rFonts w:asciiTheme="minorHAnsi" w:hAnsiTheme="minorHAnsi"/>
                <w:sz w:val="22"/>
              </w:rPr>
              <w:t xml:space="preserve"> Ensure PGR students have access to necessary and adequate computer equipment within the School</w:t>
            </w:r>
          </w:p>
          <w:p w14:paraId="76104804" w14:textId="36839D88" w:rsidR="0C8F6DC2" w:rsidRDefault="0C8F6DC2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1.2 Continue to support PGR students by provision of high quality research infrastructure and facilities.</w:t>
            </w:r>
          </w:p>
          <w:p w14:paraId="7D248EB7" w14:textId="261EB8A8" w:rsidR="00AB71A1" w:rsidRPr="00D27F26" w:rsidRDefault="00AB71A1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1.</w:t>
            </w:r>
            <w:r w:rsidR="0012252C" w:rsidRPr="6D0C25CF">
              <w:rPr>
                <w:rFonts w:asciiTheme="minorHAnsi" w:hAnsiTheme="minorHAnsi"/>
                <w:sz w:val="22"/>
              </w:rPr>
              <w:t>3</w:t>
            </w:r>
            <w:r w:rsidRPr="6D0C25CF">
              <w:rPr>
                <w:rFonts w:asciiTheme="minorHAnsi" w:hAnsiTheme="minorHAnsi"/>
                <w:sz w:val="22"/>
              </w:rPr>
              <w:t xml:space="preserve"> </w:t>
            </w:r>
            <w:r w:rsidR="4E4A69E4" w:rsidRPr="6D0C25CF">
              <w:rPr>
                <w:rFonts w:asciiTheme="minorHAnsi" w:hAnsiTheme="minorHAnsi"/>
                <w:sz w:val="22"/>
              </w:rPr>
              <w:t>Continue to e</w:t>
            </w:r>
            <w:r w:rsidRPr="6D0C25CF">
              <w:rPr>
                <w:rFonts w:asciiTheme="minorHAnsi" w:hAnsiTheme="minorHAnsi"/>
                <w:sz w:val="22"/>
              </w:rPr>
              <w:t>nsure that PGR students have access to information about how to seek support with computing problems</w:t>
            </w:r>
            <w:r w:rsidR="00680157" w:rsidRPr="6D0C25CF">
              <w:rPr>
                <w:rFonts w:asciiTheme="minorHAnsi" w:hAnsiTheme="minorHAnsi"/>
                <w:sz w:val="22"/>
              </w:rPr>
              <w:t xml:space="preserve"> (ISS)</w:t>
            </w:r>
          </w:p>
          <w:p w14:paraId="6A22F9CE" w14:textId="7F98E250" w:rsidR="00AB71A1" w:rsidRPr="00D27F26" w:rsidRDefault="0012252C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1.4</w:t>
            </w:r>
            <w:r w:rsidR="00AB71A1" w:rsidRPr="6D0C25CF">
              <w:rPr>
                <w:rFonts w:asciiTheme="minorHAnsi" w:hAnsiTheme="minorHAnsi"/>
                <w:sz w:val="22"/>
              </w:rPr>
              <w:t xml:space="preserve"> </w:t>
            </w:r>
            <w:r w:rsidR="4F00255E" w:rsidRPr="6D0C25CF">
              <w:rPr>
                <w:rFonts w:asciiTheme="minorHAnsi" w:hAnsiTheme="minorHAnsi"/>
                <w:sz w:val="22"/>
              </w:rPr>
              <w:t>Continue to e</w:t>
            </w:r>
            <w:r w:rsidR="00AB71A1" w:rsidRPr="6D0C25CF">
              <w:rPr>
                <w:rFonts w:asciiTheme="minorHAnsi" w:hAnsiTheme="minorHAnsi"/>
                <w:sz w:val="22"/>
              </w:rPr>
              <w:t>ncourage communication with PGR students</w:t>
            </w:r>
            <w:r w:rsidR="00D27F26" w:rsidRPr="6D0C25CF">
              <w:rPr>
                <w:rFonts w:asciiTheme="minorHAnsi" w:hAnsiTheme="minorHAnsi"/>
                <w:sz w:val="22"/>
              </w:rPr>
              <w:t xml:space="preserve"> through information sessions and via PhD student representatives</w:t>
            </w:r>
            <w:r w:rsidR="00AB71A1" w:rsidRPr="6D0C25CF">
              <w:rPr>
                <w:rFonts w:asciiTheme="minorHAnsi" w:hAnsiTheme="minorHAnsi"/>
                <w:sz w:val="22"/>
              </w:rPr>
              <w:t xml:space="preserve"> to ensure that</w:t>
            </w:r>
            <w:r w:rsidR="007C27CB" w:rsidRPr="6D0C25CF">
              <w:rPr>
                <w:rFonts w:asciiTheme="minorHAnsi" w:hAnsiTheme="minorHAnsi"/>
                <w:sz w:val="22"/>
              </w:rPr>
              <w:t xml:space="preserve"> gaps to</w:t>
            </w:r>
            <w:r w:rsidR="00AB71A1" w:rsidRPr="6D0C25CF">
              <w:rPr>
                <w:rFonts w:asciiTheme="minorHAnsi" w:hAnsiTheme="minorHAnsi"/>
                <w:sz w:val="22"/>
              </w:rPr>
              <w:t xml:space="preserve"> </w:t>
            </w:r>
            <w:r w:rsidR="00D27F26" w:rsidRPr="6D0C25CF">
              <w:rPr>
                <w:rFonts w:asciiTheme="minorHAnsi" w:hAnsiTheme="minorHAnsi"/>
                <w:sz w:val="22"/>
              </w:rPr>
              <w:t>specialist resources and facilities are</w:t>
            </w:r>
            <w:r w:rsidR="007C27CB" w:rsidRPr="6D0C25CF">
              <w:rPr>
                <w:rFonts w:asciiTheme="minorHAnsi" w:hAnsiTheme="minorHAnsi"/>
                <w:sz w:val="22"/>
              </w:rPr>
              <w:t xml:space="preserve"> identified and addressed</w:t>
            </w:r>
            <w:r w:rsidR="00D27F26" w:rsidRPr="6D0C25CF">
              <w:rPr>
                <w:rFonts w:asciiTheme="minorHAnsi" w:hAnsiTheme="minorHAnsi"/>
                <w:sz w:val="22"/>
              </w:rPr>
              <w:t xml:space="preserve"> where possible</w:t>
            </w:r>
          </w:p>
        </w:tc>
        <w:tc>
          <w:tcPr>
            <w:tcW w:w="1320" w:type="dxa"/>
          </w:tcPr>
          <w:p w14:paraId="5AD63ADC" w14:textId="7E8B877E" w:rsidR="001C66E1" w:rsidRPr="00D27F26" w:rsidRDefault="00D27F26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Director of PGR and School Executive</w:t>
            </w:r>
          </w:p>
        </w:tc>
        <w:tc>
          <w:tcPr>
            <w:tcW w:w="1303" w:type="dxa"/>
          </w:tcPr>
          <w:p w14:paraId="51B79E27" w14:textId="77777777" w:rsidR="00D27F26" w:rsidRPr="00300FE9" w:rsidRDefault="00D27F26" w:rsidP="00D27F26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679D00C2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5EDEA544" w14:textId="77777777" w:rsidTr="6D0C25CF">
        <w:tc>
          <w:tcPr>
            <w:tcW w:w="563" w:type="dxa"/>
          </w:tcPr>
          <w:p w14:paraId="573B768C" w14:textId="10F00DCA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2</w:t>
            </w:r>
          </w:p>
        </w:tc>
        <w:tc>
          <w:tcPr>
            <w:tcW w:w="1705" w:type="dxa"/>
          </w:tcPr>
          <w:p w14:paraId="1F3FAD4E" w14:textId="644DC976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Supervision </w:t>
            </w:r>
          </w:p>
        </w:tc>
        <w:tc>
          <w:tcPr>
            <w:tcW w:w="6336" w:type="dxa"/>
          </w:tcPr>
          <w:p w14:paraId="478F3A92" w14:textId="77777777" w:rsidR="001C66E1" w:rsidRDefault="00567159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>Summary of findings: High ratings of support provided, but slightly lower than average ratings for the College, especially for item: ‘My supervisor(s) help me to identify my training and development needs as a researcher’.</w:t>
            </w:r>
          </w:p>
          <w:p w14:paraId="5CC6DF03" w14:textId="77777777" w:rsidR="00567159" w:rsidRPr="00D27F26" w:rsidRDefault="00567159" w:rsidP="00567159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6D0C25CF">
              <w:rPr>
                <w:rFonts w:asciiTheme="minorHAnsi" w:hAnsiTheme="minorHAnsi"/>
                <w:b/>
                <w:bCs/>
                <w:sz w:val="22"/>
              </w:rPr>
              <w:t xml:space="preserve">Actions: </w:t>
            </w:r>
          </w:p>
          <w:p w14:paraId="105B1B20" w14:textId="1A02FDDF" w:rsidR="00567159" w:rsidRPr="00D27F26" w:rsidRDefault="214CB387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FA4DA0">
              <w:rPr>
                <w:rFonts w:asciiTheme="minorHAnsi" w:hAnsiTheme="minorHAnsi"/>
                <w:sz w:val="22"/>
              </w:rPr>
              <w:t xml:space="preserve">2.1 Ensure that PGR students and supervisors are aware of the new requirement for all students from AY2023- 2024 to have a Personal </w:t>
            </w: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Development Plan (PDP). </w:t>
            </w:r>
            <w:r w:rsidR="24FD144E"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All students to submit their PDP as part of their GRC. </w:t>
            </w: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Strongly encourage students in previous year to have a PDP.   </w:t>
            </w:r>
          </w:p>
          <w:p w14:paraId="68E85802" w14:textId="65D4290E" w:rsidR="00567159" w:rsidRPr="00D27F26" w:rsidRDefault="00567159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2.</w:t>
            </w:r>
            <w:r w:rsidR="40A23D12" w:rsidRPr="6D0C25CF">
              <w:rPr>
                <w:rFonts w:asciiTheme="minorHAnsi" w:hAnsiTheme="minorHAnsi"/>
                <w:sz w:val="22"/>
              </w:rPr>
              <w:t>2</w:t>
            </w:r>
            <w:r w:rsidRPr="6D0C25CF">
              <w:rPr>
                <w:rFonts w:asciiTheme="minorHAnsi" w:hAnsiTheme="minorHAnsi"/>
                <w:sz w:val="22"/>
              </w:rPr>
              <w:t xml:space="preserve"> </w:t>
            </w:r>
            <w:r w:rsidR="009F2620" w:rsidRPr="6D0C25CF">
              <w:rPr>
                <w:rFonts w:asciiTheme="minorHAnsi" w:hAnsiTheme="minorHAnsi"/>
                <w:sz w:val="22"/>
              </w:rPr>
              <w:t>Continue to d</w:t>
            </w:r>
            <w:r w:rsidRPr="6D0C25CF">
              <w:rPr>
                <w:rFonts w:asciiTheme="minorHAnsi" w:hAnsiTheme="minorHAnsi"/>
                <w:sz w:val="22"/>
              </w:rPr>
              <w:t xml:space="preserve">eliver </w:t>
            </w:r>
            <w:r w:rsidR="6B3BF7CC" w:rsidRPr="6D0C25CF">
              <w:rPr>
                <w:rFonts w:asciiTheme="minorHAnsi" w:hAnsiTheme="minorHAnsi"/>
                <w:sz w:val="22"/>
              </w:rPr>
              <w:t xml:space="preserve">an </w:t>
            </w:r>
            <w:r w:rsidRPr="6D0C25CF">
              <w:rPr>
                <w:rFonts w:asciiTheme="minorHAnsi" w:hAnsiTheme="minorHAnsi"/>
                <w:sz w:val="22"/>
              </w:rPr>
              <w:t>annual information session for PGR students and supervisors to ensure that they are familiar with University and School guidelines around supervision requirements and supports</w:t>
            </w:r>
          </w:p>
        </w:tc>
        <w:tc>
          <w:tcPr>
            <w:tcW w:w="1320" w:type="dxa"/>
          </w:tcPr>
          <w:p w14:paraId="34853A4A" w14:textId="4AA3EAB4" w:rsidR="001C66E1" w:rsidRPr="00D27F26" w:rsidRDefault="00567159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Director of PGR</w:t>
            </w:r>
          </w:p>
        </w:tc>
        <w:tc>
          <w:tcPr>
            <w:tcW w:w="1303" w:type="dxa"/>
          </w:tcPr>
          <w:p w14:paraId="6A62EFC3" w14:textId="1DF69676" w:rsidR="00E13602" w:rsidRDefault="00E13602" w:rsidP="00E1360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7094F7E2" w14:textId="656F2CF9" w:rsidR="00E13602" w:rsidRPr="00300FE9" w:rsidRDefault="00E13602" w:rsidP="6D0C25CF">
            <w:pPr>
              <w:pStyle w:val="NoSpacing"/>
              <w:ind w:left="0" w:firstLine="0"/>
              <w:rPr>
                <w:rFonts w:asciiTheme="minorHAnsi" w:hAnsiTheme="minorHAnsi" w:cstheme="minorBidi"/>
                <w:b/>
                <w:bCs/>
                <w:color w:val="auto"/>
                <w:sz w:val="22"/>
              </w:rPr>
            </w:pPr>
          </w:p>
          <w:p w14:paraId="761A027E" w14:textId="77777777" w:rsidR="001C66E1" w:rsidRPr="00D27F26" w:rsidRDefault="001C66E1" w:rsidP="00E13602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25645985" w14:textId="77777777" w:rsidTr="6D0C25CF">
        <w:tc>
          <w:tcPr>
            <w:tcW w:w="563" w:type="dxa"/>
          </w:tcPr>
          <w:p w14:paraId="3201A189" w14:textId="17368DDC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lastRenderedPageBreak/>
              <w:t>3</w:t>
            </w:r>
          </w:p>
        </w:tc>
        <w:tc>
          <w:tcPr>
            <w:tcW w:w="1705" w:type="dxa"/>
          </w:tcPr>
          <w:p w14:paraId="039EC895" w14:textId="22ECEA2B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Research Culture</w:t>
            </w:r>
          </w:p>
        </w:tc>
        <w:tc>
          <w:tcPr>
            <w:tcW w:w="6336" w:type="dxa"/>
          </w:tcPr>
          <w:p w14:paraId="114888C5" w14:textId="2D276162" w:rsidR="004B5ACE" w:rsidRPr="00D27F26" w:rsidRDefault="00567159" w:rsidP="6D0C25CF">
            <w:pPr>
              <w:spacing w:after="154" w:line="259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Ratings within this category were relatively low, but were similar to ratings in the University more widely and in the College. </w:t>
            </w:r>
            <w:r w:rsidR="63A1F97F" w:rsidRPr="6D0C25CF">
              <w:rPr>
                <w:rFonts w:asciiTheme="minorHAnsi" w:hAnsiTheme="minorHAnsi"/>
                <w:i/>
                <w:iCs/>
                <w:sz w:val="22"/>
              </w:rPr>
              <w:t>Low scores on ‘</w:t>
            </w:r>
            <w:r w:rsidR="63A1F97F" w:rsidRPr="6D0C25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</w:rPr>
              <w:t>I have opportunities to become involved in the wider research community, beyond..</w:t>
            </w:r>
            <w:r w:rsidR="63A1F97F" w:rsidRPr="6D0C25CF">
              <w:rPr>
                <w:rFonts w:ascii="Calibri" w:eastAsia="Calibri" w:hAnsi="Calibri" w:cs="Calibri"/>
                <w:color w:val="000000" w:themeColor="text1"/>
                <w:sz w:val="22"/>
              </w:rPr>
              <w:t>.’</w:t>
            </w:r>
          </w:p>
          <w:p w14:paraId="305B06C5" w14:textId="4AA87140" w:rsidR="004B5ACE" w:rsidRPr="00D27F26" w:rsidRDefault="004B5ACE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sz w:val="22"/>
              </w:rPr>
            </w:pPr>
            <w:r w:rsidRPr="6D0C25CF">
              <w:rPr>
                <w:rFonts w:asciiTheme="minorHAnsi" w:hAnsiTheme="minorHAnsi"/>
                <w:b/>
                <w:bCs/>
                <w:sz w:val="22"/>
              </w:rPr>
              <w:t xml:space="preserve">Actions: </w:t>
            </w:r>
          </w:p>
          <w:p w14:paraId="7F490BEA" w14:textId="725869E4" w:rsidR="004B5ACE" w:rsidRDefault="004B5ACE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 xml:space="preserve">3.1 </w:t>
            </w:r>
            <w:r w:rsidR="5DC077AF" w:rsidRPr="6D0C25CF">
              <w:rPr>
                <w:rFonts w:asciiTheme="minorHAnsi" w:hAnsiTheme="minorHAnsi"/>
                <w:sz w:val="22"/>
              </w:rPr>
              <w:t>Continue to run</w:t>
            </w:r>
            <w:r w:rsidRPr="6D0C25CF">
              <w:rPr>
                <w:rFonts w:asciiTheme="minorHAnsi" w:hAnsiTheme="minorHAnsi"/>
                <w:sz w:val="22"/>
              </w:rPr>
              <w:t xml:space="preserve"> the School Seminar Series</w:t>
            </w:r>
          </w:p>
          <w:p w14:paraId="28B54052" w14:textId="23EA5710" w:rsidR="196EFD5D" w:rsidRDefault="196EFD5D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3.</w:t>
            </w:r>
            <w:r w:rsidRPr="00FA4DA0">
              <w:rPr>
                <w:rFonts w:asciiTheme="minorHAnsi" w:hAnsiTheme="minorHAnsi"/>
                <w:sz w:val="22"/>
              </w:rPr>
              <w:t>2 Inform PhD students about other research events being run across the college and the university</w:t>
            </w:r>
          </w:p>
          <w:p w14:paraId="7D81BE5D" w14:textId="7EA2492E" w:rsidR="0012252C" w:rsidRPr="00D27F26" w:rsidRDefault="0012252C" w:rsidP="0012252C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3.3 PhD reps will lead on creating a forum to promote regular communication within their PhD year cohort</w:t>
            </w:r>
          </w:p>
        </w:tc>
        <w:tc>
          <w:tcPr>
            <w:tcW w:w="1320" w:type="dxa"/>
          </w:tcPr>
          <w:p w14:paraId="7570E580" w14:textId="6C181BDC" w:rsidR="001C66E1" w:rsidRPr="00D27F26" w:rsidRDefault="00632C55" w:rsidP="00632C55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Director of PGR </w:t>
            </w:r>
            <w:r w:rsidR="00E13602">
              <w:rPr>
                <w:rFonts w:asciiTheme="minorHAnsi" w:hAnsiTheme="minorHAnsi"/>
                <w:sz w:val="22"/>
              </w:rPr>
              <w:t>and School Research Strategy Committee</w:t>
            </w:r>
          </w:p>
        </w:tc>
        <w:tc>
          <w:tcPr>
            <w:tcW w:w="1303" w:type="dxa"/>
          </w:tcPr>
          <w:p w14:paraId="1CDB6F19" w14:textId="77777777" w:rsidR="00E13602" w:rsidRDefault="00E13602" w:rsidP="00E1360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0721591D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39F2F3E6" w14:textId="77777777" w:rsidTr="6D0C25CF">
        <w:tc>
          <w:tcPr>
            <w:tcW w:w="563" w:type="dxa"/>
          </w:tcPr>
          <w:p w14:paraId="0F7C8358" w14:textId="75E044C4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4</w:t>
            </w:r>
          </w:p>
        </w:tc>
        <w:tc>
          <w:tcPr>
            <w:tcW w:w="1705" w:type="dxa"/>
          </w:tcPr>
          <w:p w14:paraId="36C78B87" w14:textId="37BB088B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Progress and Assessment </w:t>
            </w:r>
          </w:p>
        </w:tc>
        <w:tc>
          <w:tcPr>
            <w:tcW w:w="6336" w:type="dxa"/>
          </w:tcPr>
          <w:p w14:paraId="69F2F006" w14:textId="7ED51073" w:rsidR="004B5ACE" w:rsidRPr="004B5ACE" w:rsidRDefault="004B5ACE" w:rsidP="6D0C25CF">
            <w:pPr>
              <w:spacing w:after="154" w:line="259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>Summary of findings: Ratings in this category were generally high, but slightly lower ratings than the University and College for items:  ‘I understand the required standard for my thesis’</w:t>
            </w:r>
            <w:r w:rsidR="09EB9AF8" w:rsidRPr="6D0C25CF">
              <w:rPr>
                <w:rFonts w:asciiTheme="minorHAnsi" w:hAnsiTheme="minorHAnsi"/>
                <w:i/>
                <w:iCs/>
                <w:sz w:val="22"/>
              </w:rPr>
              <w:t xml:space="preserve"> and “</w:t>
            </w:r>
            <w:r w:rsidR="09EB9AF8" w:rsidRPr="6D0C25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</w:rPr>
              <w:t>The final assessment procedures for my research degree are clear to me</w:t>
            </w:r>
            <w:r w:rsidR="09EB9AF8" w:rsidRPr="6D0C25CF">
              <w:rPr>
                <w:rFonts w:ascii="Calibri" w:eastAsia="Calibri" w:hAnsi="Calibri" w:cs="Calibri"/>
                <w:color w:val="000000" w:themeColor="text1"/>
                <w:sz w:val="22"/>
              </w:rPr>
              <w:t>”</w:t>
            </w:r>
          </w:p>
          <w:p w14:paraId="219A55F7" w14:textId="77777777" w:rsidR="004B5ACE" w:rsidRPr="00D27F26" w:rsidRDefault="004B5ACE" w:rsidP="004B5ACE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20409B9A" w14:textId="26F6C30E" w:rsidR="001C66E1" w:rsidRPr="00D27F26" w:rsidRDefault="004B5ACE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4.1 Deliver annual information session for PGR students and supervisors to ensure that they are familiar with University and School guidelines around</w:t>
            </w:r>
            <w:r w:rsidR="0A235BF8" w:rsidRPr="6D0C25CF">
              <w:rPr>
                <w:rFonts w:asciiTheme="minorHAnsi" w:hAnsiTheme="minorHAnsi"/>
                <w:sz w:val="22"/>
              </w:rPr>
              <w:t xml:space="preserve"> the </w:t>
            </w:r>
            <w:r w:rsidR="0A235BF8" w:rsidRPr="00FA4DA0">
              <w:rPr>
                <w:rFonts w:asciiTheme="minorHAnsi" w:hAnsiTheme="minorHAnsi"/>
                <w:sz w:val="22"/>
              </w:rPr>
              <w:t>required standards for the thesis and the assessment procedures (i.e. viva)</w:t>
            </w:r>
          </w:p>
        </w:tc>
        <w:tc>
          <w:tcPr>
            <w:tcW w:w="1320" w:type="dxa"/>
          </w:tcPr>
          <w:p w14:paraId="699E2973" w14:textId="6B2BD57E" w:rsidR="001C66E1" w:rsidRPr="00D27F26" w:rsidRDefault="00632C55" w:rsidP="00632C55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Director of PGR </w:t>
            </w:r>
          </w:p>
        </w:tc>
        <w:tc>
          <w:tcPr>
            <w:tcW w:w="1303" w:type="dxa"/>
          </w:tcPr>
          <w:p w14:paraId="2941E2A2" w14:textId="77777777" w:rsidR="00E13602" w:rsidRDefault="00E13602" w:rsidP="00E1360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73A91E0E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60CD8517" w14:textId="77777777" w:rsidTr="6D0C25CF">
        <w:tc>
          <w:tcPr>
            <w:tcW w:w="563" w:type="dxa"/>
          </w:tcPr>
          <w:p w14:paraId="6BF01CD1" w14:textId="4777B638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5</w:t>
            </w:r>
          </w:p>
        </w:tc>
        <w:tc>
          <w:tcPr>
            <w:tcW w:w="1705" w:type="dxa"/>
          </w:tcPr>
          <w:p w14:paraId="758E6B8B" w14:textId="56966DA4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Research Skills </w:t>
            </w:r>
          </w:p>
        </w:tc>
        <w:tc>
          <w:tcPr>
            <w:tcW w:w="6336" w:type="dxa"/>
          </w:tcPr>
          <w:p w14:paraId="6A82BAC1" w14:textId="68D821A8" w:rsidR="001C66E1" w:rsidRDefault="004B5ACE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>Summary of findings: Ratings in this category were generally high, but slightly lower ratings than the University and College for items: ‘My confidence to be creative or innovative has developed during my programme’.</w:t>
            </w:r>
          </w:p>
          <w:p w14:paraId="34436B82" w14:textId="77777777" w:rsidR="004B5ACE" w:rsidRPr="00D27F26" w:rsidRDefault="004B5ACE" w:rsidP="004B5ACE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09B2AD17" w14:textId="77777777" w:rsidR="004B5ACE" w:rsidRDefault="004B5ACE" w:rsidP="004B5ACE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5.1 Ensure that PGR students and supervisors are aware of the Researcher Development Centre at NUI Galway, which provides regular training for researchers in transferrable research skills. </w:t>
            </w:r>
          </w:p>
          <w:p w14:paraId="765E849D" w14:textId="77777777" w:rsidR="0012252C" w:rsidRDefault="0012252C" w:rsidP="004B5ACE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5.2 Promote communication about relevant training events to PhD students within the School</w:t>
            </w:r>
          </w:p>
          <w:p w14:paraId="73C0A9CE" w14:textId="39CB44D2" w:rsidR="0012252C" w:rsidRPr="00D27F26" w:rsidRDefault="0012252C" w:rsidP="004B5ACE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5.3 Encourage students to propose and organise training events to address skills gaps among PhD students</w:t>
            </w:r>
          </w:p>
        </w:tc>
        <w:tc>
          <w:tcPr>
            <w:tcW w:w="1320" w:type="dxa"/>
          </w:tcPr>
          <w:p w14:paraId="413F3CD8" w14:textId="1C3A5531" w:rsidR="001C66E1" w:rsidRPr="00D27F26" w:rsidRDefault="00632C55" w:rsidP="00632C55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Director of PGR </w:t>
            </w:r>
          </w:p>
        </w:tc>
        <w:tc>
          <w:tcPr>
            <w:tcW w:w="1303" w:type="dxa"/>
          </w:tcPr>
          <w:p w14:paraId="32A98C9E" w14:textId="77777777" w:rsidR="00E13602" w:rsidRDefault="00E13602" w:rsidP="00E1360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320E11CC" w14:textId="77777777" w:rsidR="001C66E1" w:rsidRPr="00D27F26" w:rsidRDefault="001C66E1" w:rsidP="00E13602">
            <w:pPr>
              <w:pStyle w:val="NoSpacing"/>
              <w:rPr>
                <w:rFonts w:asciiTheme="minorHAnsi" w:hAnsiTheme="minorHAnsi"/>
                <w:sz w:val="22"/>
              </w:rPr>
            </w:pPr>
          </w:p>
        </w:tc>
      </w:tr>
      <w:tr w:rsidR="001C66E1" w14:paraId="0AACB38E" w14:textId="77777777" w:rsidTr="6D0C25CF">
        <w:tc>
          <w:tcPr>
            <w:tcW w:w="563" w:type="dxa"/>
          </w:tcPr>
          <w:p w14:paraId="56B07445" w14:textId="1E70F540" w:rsidR="001C66E1" w:rsidRPr="00300FE9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6</w:t>
            </w:r>
          </w:p>
        </w:tc>
        <w:tc>
          <w:tcPr>
            <w:tcW w:w="1705" w:type="dxa"/>
          </w:tcPr>
          <w:p w14:paraId="4A695EF2" w14:textId="6E7D6799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Other Transferable Skills</w:t>
            </w:r>
          </w:p>
        </w:tc>
        <w:tc>
          <w:tcPr>
            <w:tcW w:w="6336" w:type="dxa"/>
          </w:tcPr>
          <w:p w14:paraId="26DA8A40" w14:textId="3084FDC8" w:rsidR="001D719B" w:rsidRPr="001D719B" w:rsidRDefault="001D719B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Ratings in this category were generally </w:t>
            </w:r>
            <w:r w:rsidR="20C7FCD9" w:rsidRPr="6D0C25CF">
              <w:rPr>
                <w:rFonts w:asciiTheme="minorHAnsi" w:hAnsiTheme="minorHAnsi"/>
                <w:i/>
                <w:iCs/>
                <w:sz w:val="22"/>
              </w:rPr>
              <w:t>high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>, but slightly lower ratings than the University and College for items: ‘</w:t>
            </w:r>
            <w:r w:rsidR="6747A4B6" w:rsidRPr="6D0C25CF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</w:rPr>
              <w:t>My ability to communicate information effectively to diverse audiences has devel...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>’.</w:t>
            </w:r>
          </w:p>
          <w:p w14:paraId="692442D4" w14:textId="77777777" w:rsidR="001D719B" w:rsidRPr="00D27F26" w:rsidRDefault="001D719B" w:rsidP="001D719B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476C48A0" w14:textId="1827D132" w:rsidR="001C66E1" w:rsidRPr="00D27F26" w:rsidRDefault="001D719B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 xml:space="preserve">6.1 Ensure that PGR students and supervisors </w:t>
            </w:r>
            <w:r w:rsidR="37004A01" w:rsidRPr="6D0C25CF">
              <w:rPr>
                <w:rFonts w:asciiTheme="minorHAnsi" w:hAnsiTheme="minorHAnsi"/>
                <w:sz w:val="22"/>
              </w:rPr>
              <w:t xml:space="preserve">discuss opportunities to disseminate research findings to diverse audiences. </w:t>
            </w:r>
          </w:p>
        </w:tc>
        <w:tc>
          <w:tcPr>
            <w:tcW w:w="1320" w:type="dxa"/>
          </w:tcPr>
          <w:p w14:paraId="202AEC62" w14:textId="4DF9C591" w:rsidR="001C66E1" w:rsidRPr="00D27F26" w:rsidRDefault="37004A01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 xml:space="preserve">PhD Supervisors </w:t>
            </w:r>
          </w:p>
        </w:tc>
        <w:tc>
          <w:tcPr>
            <w:tcW w:w="1303" w:type="dxa"/>
          </w:tcPr>
          <w:p w14:paraId="4B9BF4EA" w14:textId="77777777" w:rsidR="00E13602" w:rsidRDefault="00E13602" w:rsidP="00E13602">
            <w:pPr>
              <w:pStyle w:val="NoSpacing"/>
              <w:rPr>
                <w:rFonts w:asciiTheme="minorHAnsi" w:hAnsiTheme="minorHAnsi" w:cstheme="minorHAnsi"/>
                <w:b/>
                <w:color w:val="00B050"/>
                <w:sz w:val="22"/>
              </w:rPr>
            </w:pPr>
            <w:r w:rsidRPr="00300FE9">
              <w:rPr>
                <w:rFonts w:asciiTheme="minorHAnsi" w:hAnsiTheme="minorHAnsi" w:cstheme="minorHAnsi"/>
                <w:b/>
                <w:color w:val="ED7D31" w:themeColor="accent2"/>
                <w:sz w:val="22"/>
              </w:rPr>
              <w:t>*In Progress</w:t>
            </w:r>
            <w:r w:rsidRPr="00300FE9">
              <w:rPr>
                <w:rFonts w:asciiTheme="minorHAnsi" w:hAnsiTheme="minorHAnsi" w:cstheme="minorHAnsi"/>
                <w:b/>
                <w:color w:val="00B050"/>
                <w:sz w:val="22"/>
              </w:rPr>
              <w:t xml:space="preserve"> </w:t>
            </w:r>
          </w:p>
          <w:p w14:paraId="29BB1F4E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205527EC" w14:textId="77777777" w:rsidTr="6D0C25CF">
        <w:tc>
          <w:tcPr>
            <w:tcW w:w="563" w:type="dxa"/>
          </w:tcPr>
          <w:p w14:paraId="28D147E0" w14:textId="7DE94247" w:rsidR="001C66E1" w:rsidRPr="00300FE9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7</w:t>
            </w:r>
          </w:p>
        </w:tc>
        <w:tc>
          <w:tcPr>
            <w:tcW w:w="1705" w:type="dxa"/>
          </w:tcPr>
          <w:p w14:paraId="7FBF2307" w14:textId="78A08ACF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Responsibilities and Supports</w:t>
            </w:r>
          </w:p>
        </w:tc>
        <w:tc>
          <w:tcPr>
            <w:tcW w:w="6336" w:type="dxa"/>
          </w:tcPr>
          <w:p w14:paraId="1DF14772" w14:textId="1CBE6606" w:rsidR="001D719B" w:rsidRDefault="001D719B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Ratings in this category were mixed in this category. Of note, were low rating on the following items, which is in line with the University more broadly and the College: ‘How aware 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lastRenderedPageBreak/>
              <w:t>are you of the various student supports available? (Recreation, healthcare, counselling, etc)’ and ‘My institution values and responds to feedback from research degree students’</w:t>
            </w:r>
          </w:p>
          <w:p w14:paraId="2D39533B" w14:textId="77777777" w:rsidR="001D719B" w:rsidRPr="00D27F26" w:rsidRDefault="001D719B" w:rsidP="001D719B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7F808CFE" w14:textId="77ABFE49" w:rsidR="001D719B" w:rsidRDefault="001D719B" w:rsidP="001D719B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7.1 Establish a team of PhD representatives within the School who meet every month with the Director of PGR programmes, to ensure that issues that are important to PGR students are addressed</w:t>
            </w:r>
          </w:p>
          <w:p w14:paraId="62AFCEC2" w14:textId="5033E9E3" w:rsidR="001C66E1" w:rsidRPr="00D27F26" w:rsidRDefault="001D719B" w:rsidP="001D719B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7.2 Signpost PGR students to the Graduate Studies Office where they can find information about students supports within the University. </w:t>
            </w:r>
          </w:p>
        </w:tc>
        <w:tc>
          <w:tcPr>
            <w:tcW w:w="1320" w:type="dxa"/>
          </w:tcPr>
          <w:p w14:paraId="0D9BD533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03" w:type="dxa"/>
          </w:tcPr>
          <w:p w14:paraId="390F9C09" w14:textId="6C93FBB6" w:rsidR="00E13602" w:rsidRDefault="00E13602" w:rsidP="6D0C25CF">
            <w:pPr>
              <w:pStyle w:val="NoSpacing"/>
              <w:rPr>
                <w:rFonts w:asciiTheme="minorHAnsi" w:hAnsiTheme="minorHAnsi" w:cstheme="minorBidi"/>
                <w:b/>
                <w:bCs/>
                <w:color w:val="00B050"/>
                <w:sz w:val="22"/>
              </w:rPr>
            </w:pPr>
            <w:r w:rsidRPr="6D0C25CF">
              <w:rPr>
                <w:rFonts w:asciiTheme="minorHAnsi" w:hAnsiTheme="minorHAnsi" w:cstheme="minorBidi"/>
                <w:b/>
                <w:bCs/>
                <w:color w:val="ED7D31" w:themeColor="accent2"/>
                <w:sz w:val="22"/>
              </w:rPr>
              <w:t xml:space="preserve">*In Progress </w:t>
            </w:r>
            <w:r w:rsidRPr="6D0C25CF">
              <w:rPr>
                <w:rFonts w:asciiTheme="minorHAnsi" w:hAnsiTheme="minorHAnsi" w:cstheme="minorBidi"/>
                <w:b/>
                <w:bCs/>
                <w:color w:val="00B050"/>
                <w:sz w:val="22"/>
              </w:rPr>
              <w:t xml:space="preserve"> </w:t>
            </w:r>
          </w:p>
          <w:p w14:paraId="2E4ECE82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5906EF50" w14:textId="77777777" w:rsidTr="6D0C25CF">
        <w:tc>
          <w:tcPr>
            <w:tcW w:w="563" w:type="dxa"/>
          </w:tcPr>
          <w:p w14:paraId="0ECD83BB" w14:textId="7A17B1FE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8</w:t>
            </w:r>
          </w:p>
        </w:tc>
        <w:tc>
          <w:tcPr>
            <w:tcW w:w="1705" w:type="dxa"/>
          </w:tcPr>
          <w:p w14:paraId="7D435E6B" w14:textId="7A14469F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Personal Outlook</w:t>
            </w:r>
          </w:p>
        </w:tc>
        <w:tc>
          <w:tcPr>
            <w:tcW w:w="6336" w:type="dxa"/>
          </w:tcPr>
          <w:p w14:paraId="4E4DE329" w14:textId="4BBDB1DC" w:rsidR="00F61034" w:rsidRPr="00D27F26" w:rsidRDefault="00F61034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Ratings in this category </w:t>
            </w:r>
            <w:r w:rsidR="27176E2A" w:rsidRPr="6D0C25CF">
              <w:rPr>
                <w:rFonts w:asciiTheme="minorHAnsi" w:hAnsiTheme="minorHAnsi"/>
                <w:i/>
                <w:iCs/>
                <w:sz w:val="22"/>
              </w:rPr>
              <w:t xml:space="preserve">generally high. 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>were mixed. Of note, w</w:t>
            </w:r>
            <w:r w:rsidR="5F55BCF7" w:rsidRPr="6D0C25CF">
              <w:rPr>
                <w:rFonts w:asciiTheme="minorHAnsi" w:hAnsiTheme="minorHAnsi"/>
                <w:i/>
                <w:iCs/>
                <w:sz w:val="22"/>
              </w:rPr>
              <w:t>as a</w:t>
            </w: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 low rating on ‘I am satisfied with my work-life balance’ </w:t>
            </w:r>
          </w:p>
          <w:p w14:paraId="23D2D681" w14:textId="6BE9EC51" w:rsidR="00F61034" w:rsidRPr="00D27F26" w:rsidRDefault="00F61034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sz w:val="22"/>
              </w:rPr>
            </w:pPr>
            <w:r w:rsidRPr="6D0C25CF">
              <w:rPr>
                <w:rFonts w:asciiTheme="minorHAnsi" w:hAnsiTheme="minorHAnsi"/>
                <w:b/>
                <w:bCs/>
                <w:sz w:val="22"/>
              </w:rPr>
              <w:t xml:space="preserve">Actions: </w:t>
            </w:r>
          </w:p>
          <w:p w14:paraId="1C8A25A3" w14:textId="2F76339B" w:rsidR="0012252C" w:rsidRPr="00D27F26" w:rsidRDefault="00FF42DE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8.1</w:t>
            </w:r>
            <w:r w:rsidR="0012252C" w:rsidRPr="6D0C25CF">
              <w:rPr>
                <w:rFonts w:asciiTheme="minorHAnsi" w:hAnsiTheme="minorHAnsi"/>
                <w:sz w:val="22"/>
              </w:rPr>
              <w:t xml:space="preserve"> Ensure that PhD students and supervisors are aware of the importance to building holiday time into the year for PhD students</w:t>
            </w:r>
          </w:p>
        </w:tc>
        <w:tc>
          <w:tcPr>
            <w:tcW w:w="1320" w:type="dxa"/>
          </w:tcPr>
          <w:p w14:paraId="7AD28DF1" w14:textId="02649281" w:rsidR="001C66E1" w:rsidRPr="00D27F26" w:rsidRDefault="00632C55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Director of PGR and School Executive</w:t>
            </w:r>
          </w:p>
        </w:tc>
        <w:tc>
          <w:tcPr>
            <w:tcW w:w="1303" w:type="dxa"/>
          </w:tcPr>
          <w:p w14:paraId="21A9AF51" w14:textId="2CD7C259" w:rsidR="00E13602" w:rsidRPr="00E13602" w:rsidRDefault="00E13602" w:rsidP="6D0C25CF">
            <w:pPr>
              <w:pStyle w:val="NoSpacing"/>
              <w:rPr>
                <w:rFonts w:asciiTheme="minorHAnsi" w:hAnsiTheme="minorHAnsi" w:cstheme="minorBidi"/>
                <w:b/>
                <w:bCs/>
                <w:color w:val="auto"/>
                <w:sz w:val="22"/>
              </w:rPr>
            </w:pPr>
            <w:r w:rsidRPr="6D0C25CF">
              <w:rPr>
                <w:rFonts w:asciiTheme="minorHAnsi" w:hAnsiTheme="minorHAnsi" w:cstheme="minorBidi"/>
                <w:b/>
                <w:bCs/>
                <w:color w:val="ED7D31" w:themeColor="accent2"/>
                <w:sz w:val="22"/>
              </w:rPr>
              <w:t xml:space="preserve">*In Progress </w:t>
            </w:r>
          </w:p>
          <w:p w14:paraId="7A9C4B70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4C7BE7C3" w14:textId="77777777" w:rsidTr="6D0C25CF">
        <w:tc>
          <w:tcPr>
            <w:tcW w:w="563" w:type="dxa"/>
          </w:tcPr>
          <w:p w14:paraId="5B3C8761" w14:textId="48771355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9</w:t>
            </w:r>
          </w:p>
        </w:tc>
        <w:tc>
          <w:tcPr>
            <w:tcW w:w="1705" w:type="dxa"/>
          </w:tcPr>
          <w:p w14:paraId="3C226E3A" w14:textId="1DB09A01" w:rsidR="001C66E1" w:rsidRPr="001C66E1" w:rsidRDefault="614ABF79" w:rsidP="6D0C25CF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bCs/>
                <w:color w:val="FF0000"/>
                <w:sz w:val="20"/>
                <w:szCs w:val="20"/>
              </w:rPr>
            </w:pPr>
            <w:r w:rsidRPr="00FA4DA0"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  <w:t>Research Funding</w:t>
            </w:r>
          </w:p>
        </w:tc>
        <w:tc>
          <w:tcPr>
            <w:tcW w:w="6336" w:type="dxa"/>
          </w:tcPr>
          <w:p w14:paraId="201C2B63" w14:textId="095D83CB" w:rsidR="00BE2A40" w:rsidRPr="00FA4DA0" w:rsidRDefault="458A89D6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  <w:t xml:space="preserve">Summary of findings: Ratings in this category different from University and College norms. We have a lower level of fully </w:t>
            </w:r>
            <w:r w:rsidR="24DCFC6F" w:rsidRPr="00FA4DA0"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  <w:t xml:space="preserve">funded and a higher proportion of self-funded and employer funded PhD candidates. Where funding is available, lower ratings for </w:t>
            </w:r>
            <w:r w:rsidR="6EC9A860" w:rsidRPr="00FA4DA0"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  <w:t xml:space="preserve">“research materials”, “travel to conferences”, “other travel” and “specialists training”. </w:t>
            </w:r>
          </w:p>
          <w:p w14:paraId="203D3892" w14:textId="1A4D1346" w:rsidR="00BE2A40" w:rsidRPr="00FA4DA0" w:rsidRDefault="6EC9A860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  <w:t>Actions</w:t>
            </w: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>:</w:t>
            </w:r>
            <w:r w:rsidR="00FA4DA0"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 Ensure that all </w:t>
            </w:r>
            <w:proofErr w:type="spellStart"/>
            <w:r w:rsidR="00FA4DA0" w:rsidRPr="00FA4DA0">
              <w:rPr>
                <w:rFonts w:asciiTheme="minorHAnsi" w:hAnsiTheme="minorHAnsi"/>
                <w:color w:val="000000" w:themeColor="text1"/>
                <w:sz w:val="22"/>
              </w:rPr>
              <w:t>self funded</w:t>
            </w:r>
            <w:proofErr w:type="spellEnd"/>
            <w:r w:rsidR="00FA4DA0"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 students make an application for research funding in the first and subsequent years (where applicable). For example, Irish Research Council Funding.</w:t>
            </w:r>
          </w:p>
          <w:p w14:paraId="0FEB86AF" w14:textId="1C15968C" w:rsidR="00BE2A40" w:rsidRPr="00D27F26" w:rsidRDefault="00BE2A40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FF0000"/>
                <w:sz w:val="22"/>
              </w:rPr>
            </w:pPr>
          </w:p>
        </w:tc>
        <w:tc>
          <w:tcPr>
            <w:tcW w:w="1320" w:type="dxa"/>
          </w:tcPr>
          <w:p w14:paraId="599A925B" w14:textId="0C98A533" w:rsidR="001C66E1" w:rsidRPr="00D27F26" w:rsidRDefault="001C66E1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303" w:type="dxa"/>
          </w:tcPr>
          <w:p w14:paraId="19EDA266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25C1EF5D" w14:textId="77777777" w:rsidTr="6D0C25CF">
        <w:tc>
          <w:tcPr>
            <w:tcW w:w="563" w:type="dxa"/>
          </w:tcPr>
          <w:p w14:paraId="2E36F314" w14:textId="1C08956F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10</w:t>
            </w:r>
          </w:p>
        </w:tc>
        <w:tc>
          <w:tcPr>
            <w:tcW w:w="1705" w:type="dxa"/>
          </w:tcPr>
          <w:p w14:paraId="0D180D60" w14:textId="10598437" w:rsidR="001C66E1" w:rsidRPr="00FA4DA0" w:rsidRDefault="001C66E1" w:rsidP="6D0C25CF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FA4DA0">
              <w:rPr>
                <w:rFonts w:asciiTheme="minorHAnsi" w:eastAsia="Arial" w:hAnsiTheme="minorHAnsi" w:cs="Arial"/>
                <w:b/>
                <w:bCs/>
                <w:color w:val="000000" w:themeColor="text1"/>
                <w:sz w:val="20"/>
                <w:szCs w:val="20"/>
              </w:rPr>
              <w:t xml:space="preserve">Development Opportunities  </w:t>
            </w:r>
          </w:p>
        </w:tc>
        <w:tc>
          <w:tcPr>
            <w:tcW w:w="6336" w:type="dxa"/>
          </w:tcPr>
          <w:p w14:paraId="63884B78" w14:textId="77777777" w:rsidR="001C66E1" w:rsidRPr="00FA4DA0" w:rsidRDefault="00D9708A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i/>
                <w:iCs/>
                <w:color w:val="000000" w:themeColor="text1"/>
                <w:sz w:val="22"/>
              </w:rPr>
              <w:t>Summary of findings: Ratings in this category were mixed. Of note, were low rating on the following items: ‘Agreeing a personal training or development plan’, ‘Receiving advice on career options’, and ‘Do you agree or disagree that you have been given appropriate support and guidance for your teaching / demonstration?’</w:t>
            </w:r>
          </w:p>
          <w:p w14:paraId="4863FD8A" w14:textId="77777777" w:rsidR="00D9708A" w:rsidRPr="00FA4DA0" w:rsidRDefault="00D9708A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b/>
                <w:bCs/>
                <w:color w:val="000000" w:themeColor="text1"/>
                <w:sz w:val="22"/>
              </w:rPr>
              <w:t xml:space="preserve">Actions: </w:t>
            </w:r>
          </w:p>
          <w:p w14:paraId="675001C2" w14:textId="77777777" w:rsidR="00D9708A" w:rsidRPr="00FA4DA0" w:rsidRDefault="00D9708A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>10.1 Ensure that PGR students and supervisors are aware of the Researcher Development Centre at NUI Galway, which provides regular training in researcher continuing professional development and careers</w:t>
            </w:r>
          </w:p>
          <w:p w14:paraId="2C098A05" w14:textId="77777777" w:rsidR="00D9708A" w:rsidRPr="00FA4DA0" w:rsidRDefault="00D9708A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>10.2 Deliver training in careers for researchers</w:t>
            </w:r>
          </w:p>
          <w:p w14:paraId="6EC5DDCF" w14:textId="4375B0A3" w:rsidR="00D9708A" w:rsidRPr="00FA4DA0" w:rsidRDefault="00D9708A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 xml:space="preserve">10.3 Signpost PGR students to CELT, where they may be able to access training in teaching and learning. </w:t>
            </w:r>
          </w:p>
        </w:tc>
        <w:tc>
          <w:tcPr>
            <w:tcW w:w="1320" w:type="dxa"/>
          </w:tcPr>
          <w:p w14:paraId="37DB4868" w14:textId="6DE51FF2" w:rsidR="001C66E1" w:rsidRPr="00FA4DA0" w:rsidRDefault="00632C55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color w:val="000000" w:themeColor="text1"/>
                <w:sz w:val="22"/>
              </w:rPr>
            </w:pPr>
            <w:r w:rsidRPr="00FA4DA0">
              <w:rPr>
                <w:rFonts w:asciiTheme="minorHAnsi" w:hAnsiTheme="minorHAnsi"/>
                <w:color w:val="000000" w:themeColor="text1"/>
                <w:sz w:val="22"/>
              </w:rPr>
              <w:t>Director of PGR, School Executive and School Research Strategy Committee</w:t>
            </w:r>
          </w:p>
        </w:tc>
        <w:tc>
          <w:tcPr>
            <w:tcW w:w="1303" w:type="dxa"/>
          </w:tcPr>
          <w:p w14:paraId="7275A182" w14:textId="0783C10C" w:rsidR="001C66E1" w:rsidRPr="00D27F26" w:rsidRDefault="00ED2A18" w:rsidP="6D0C25CF">
            <w:pPr>
              <w:pStyle w:val="NoSpacing"/>
              <w:spacing w:after="154" w:line="259" w:lineRule="auto"/>
              <w:rPr>
                <w:rFonts w:asciiTheme="minorHAnsi" w:hAnsiTheme="minorHAnsi" w:cstheme="minorBidi"/>
                <w:b/>
                <w:bCs/>
                <w:color w:val="auto"/>
                <w:sz w:val="22"/>
              </w:rPr>
            </w:pPr>
            <w:r w:rsidRPr="6D0C25CF">
              <w:rPr>
                <w:rFonts w:asciiTheme="minorHAnsi" w:hAnsiTheme="minorHAnsi" w:cstheme="minorBidi"/>
                <w:b/>
                <w:bCs/>
                <w:color w:val="ED7D31" w:themeColor="accent2"/>
                <w:sz w:val="22"/>
              </w:rPr>
              <w:t xml:space="preserve">*In Progress </w:t>
            </w:r>
          </w:p>
        </w:tc>
      </w:tr>
      <w:tr w:rsidR="001C66E1" w14:paraId="23EF7755" w14:textId="77777777" w:rsidTr="6D0C25CF">
        <w:tc>
          <w:tcPr>
            <w:tcW w:w="563" w:type="dxa"/>
          </w:tcPr>
          <w:p w14:paraId="09FC9245" w14:textId="34C1B34C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lastRenderedPageBreak/>
              <w:t>11</w:t>
            </w:r>
          </w:p>
        </w:tc>
        <w:tc>
          <w:tcPr>
            <w:tcW w:w="1705" w:type="dxa"/>
          </w:tcPr>
          <w:p w14:paraId="39841A76" w14:textId="06084607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Motivations</w:t>
            </w:r>
          </w:p>
        </w:tc>
        <w:tc>
          <w:tcPr>
            <w:tcW w:w="6336" w:type="dxa"/>
          </w:tcPr>
          <w:p w14:paraId="52D5F11D" w14:textId="60775D94" w:rsidR="001C66E1" w:rsidRDefault="00C6210D" w:rsidP="00C6210D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sz w:val="22"/>
              </w:rPr>
            </w:pPr>
            <w:r w:rsidRPr="004B5ACE">
              <w:rPr>
                <w:rFonts w:asciiTheme="minorHAnsi" w:hAnsiTheme="minorHAnsi"/>
                <w:i/>
                <w:sz w:val="22"/>
              </w:rPr>
              <w:t>Summary of findings:</w:t>
            </w:r>
            <w:r>
              <w:rPr>
                <w:rFonts w:asciiTheme="minorHAnsi" w:hAnsiTheme="minorHAnsi"/>
                <w:i/>
                <w:sz w:val="22"/>
              </w:rPr>
              <w:t xml:space="preserve"> Highest priorities were (1) My interest in my subject, (2) Improving career prospects outside of academic and (3) Improving career </w:t>
            </w:r>
            <w:r w:rsidR="0025084C">
              <w:rPr>
                <w:rFonts w:asciiTheme="minorHAnsi" w:hAnsiTheme="minorHAnsi"/>
                <w:i/>
                <w:sz w:val="22"/>
              </w:rPr>
              <w:t>prospects</w:t>
            </w:r>
            <w:r>
              <w:rPr>
                <w:rFonts w:asciiTheme="minorHAnsi" w:hAnsiTheme="minorHAnsi"/>
                <w:i/>
                <w:sz w:val="22"/>
              </w:rPr>
              <w:t xml:space="preserve"> for an academic.</w:t>
            </w:r>
          </w:p>
          <w:p w14:paraId="15A1C2CD" w14:textId="77777777" w:rsidR="00C6210D" w:rsidRPr="00D27F26" w:rsidRDefault="00C6210D" w:rsidP="00C6210D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1BF7FFF4" w14:textId="4A8D9199" w:rsidR="00C6210D" w:rsidRPr="00D27F26" w:rsidRDefault="00C6210D" w:rsidP="00C6210D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None needed. </w:t>
            </w:r>
          </w:p>
        </w:tc>
        <w:tc>
          <w:tcPr>
            <w:tcW w:w="1320" w:type="dxa"/>
          </w:tcPr>
          <w:p w14:paraId="1422FA60" w14:textId="3B86CF5D" w:rsidR="001C66E1" w:rsidRPr="00D27F26" w:rsidRDefault="00E13602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303" w:type="dxa"/>
          </w:tcPr>
          <w:p w14:paraId="1CEBFA56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2171E168" w14:textId="77777777" w:rsidTr="6D0C25CF">
        <w:tc>
          <w:tcPr>
            <w:tcW w:w="563" w:type="dxa"/>
          </w:tcPr>
          <w:p w14:paraId="537A01A1" w14:textId="28E10895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>
              <w:rPr>
                <w:rFonts w:asciiTheme="minorHAnsi" w:eastAsia="Arial" w:hAnsiTheme="minorHAnsi" w:cs="Arial"/>
                <w:b/>
                <w:sz w:val="22"/>
              </w:rPr>
              <w:t>12</w:t>
            </w:r>
          </w:p>
        </w:tc>
        <w:tc>
          <w:tcPr>
            <w:tcW w:w="1705" w:type="dxa"/>
          </w:tcPr>
          <w:p w14:paraId="0A9D6EB5" w14:textId="5C12FFA3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>Career</w:t>
            </w:r>
          </w:p>
        </w:tc>
        <w:tc>
          <w:tcPr>
            <w:tcW w:w="6336" w:type="dxa"/>
          </w:tcPr>
          <w:p w14:paraId="61E00B3C" w14:textId="4A25A46A" w:rsidR="0025084C" w:rsidRPr="00D27F26" w:rsidRDefault="0025084C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bCs/>
                <w:sz w:val="22"/>
              </w:rPr>
            </w:pPr>
            <w:r w:rsidRPr="6D0C25CF">
              <w:rPr>
                <w:rFonts w:asciiTheme="minorHAnsi" w:hAnsiTheme="minorHAnsi"/>
                <w:i/>
                <w:iCs/>
                <w:sz w:val="22"/>
              </w:rPr>
              <w:t xml:space="preserve">Summary of findings: Highest priorities were (1) Academic career in higher education (either research and teaching, or teaching only), </w:t>
            </w:r>
            <w:r w:rsidRPr="6D0C25CF">
              <w:rPr>
                <w:rFonts w:asciiTheme="minorHAnsi" w:hAnsiTheme="minorHAnsi"/>
                <w:b/>
                <w:bCs/>
                <w:sz w:val="22"/>
              </w:rPr>
              <w:t xml:space="preserve">Actions: </w:t>
            </w:r>
          </w:p>
          <w:p w14:paraId="54ACDAD6" w14:textId="6B1BED90" w:rsidR="001C66E1" w:rsidRPr="00D27F26" w:rsidRDefault="0025084C" w:rsidP="0025084C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None needed.</w:t>
            </w:r>
          </w:p>
        </w:tc>
        <w:tc>
          <w:tcPr>
            <w:tcW w:w="1320" w:type="dxa"/>
          </w:tcPr>
          <w:p w14:paraId="06542FB8" w14:textId="5A130C4C" w:rsidR="001C66E1" w:rsidRPr="00D27F26" w:rsidRDefault="00E13602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N/A</w:t>
            </w:r>
          </w:p>
        </w:tc>
        <w:tc>
          <w:tcPr>
            <w:tcW w:w="1303" w:type="dxa"/>
          </w:tcPr>
          <w:p w14:paraId="66B74F80" w14:textId="77777777" w:rsidR="001C66E1" w:rsidRPr="00D27F26" w:rsidRDefault="001C66E1" w:rsidP="00D27F26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</w:p>
        </w:tc>
      </w:tr>
      <w:tr w:rsidR="001C66E1" w14:paraId="1458EF53" w14:textId="77777777" w:rsidTr="6D0C25CF">
        <w:tc>
          <w:tcPr>
            <w:tcW w:w="563" w:type="dxa"/>
          </w:tcPr>
          <w:p w14:paraId="1538C5E5" w14:textId="32E1FAE6" w:rsid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2"/>
              </w:rPr>
            </w:pPr>
            <w:r w:rsidRPr="00300FE9">
              <w:rPr>
                <w:rFonts w:asciiTheme="minorHAnsi" w:eastAsia="Arial" w:hAnsiTheme="minorHAnsi" w:cs="Arial"/>
                <w:b/>
                <w:sz w:val="22"/>
              </w:rPr>
              <w:t>1</w:t>
            </w:r>
            <w:r>
              <w:rPr>
                <w:rFonts w:asciiTheme="minorHAnsi" w:eastAsia="Arial" w:hAnsiTheme="minorHAnsi" w:cs="Arial"/>
                <w:b/>
                <w:sz w:val="22"/>
              </w:rPr>
              <w:t>3</w:t>
            </w:r>
          </w:p>
        </w:tc>
        <w:tc>
          <w:tcPr>
            <w:tcW w:w="1705" w:type="dxa"/>
          </w:tcPr>
          <w:p w14:paraId="3E0C9ECF" w14:textId="226328CA" w:rsidR="001C66E1" w:rsidRPr="001C66E1" w:rsidRDefault="001C66E1" w:rsidP="001C66E1">
            <w:pPr>
              <w:spacing w:after="154" w:line="259" w:lineRule="auto"/>
              <w:ind w:left="0" w:firstLine="0"/>
              <w:jc w:val="center"/>
              <w:rPr>
                <w:rFonts w:asciiTheme="minorHAnsi" w:eastAsia="Arial" w:hAnsiTheme="minorHAnsi" w:cs="Arial"/>
                <w:b/>
                <w:sz w:val="20"/>
                <w:szCs w:val="20"/>
              </w:rPr>
            </w:pPr>
            <w:r w:rsidRPr="001C66E1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Overall Experience </w:t>
            </w:r>
          </w:p>
        </w:tc>
        <w:tc>
          <w:tcPr>
            <w:tcW w:w="6336" w:type="dxa"/>
          </w:tcPr>
          <w:p w14:paraId="5F85C0FF" w14:textId="77777777" w:rsidR="001C66E1" w:rsidRDefault="00092C30" w:rsidP="00AB71A1">
            <w:pPr>
              <w:spacing w:after="154" w:line="259" w:lineRule="auto"/>
              <w:ind w:left="0" w:firstLine="0"/>
              <w:rPr>
                <w:rFonts w:asciiTheme="minorHAnsi" w:hAnsiTheme="minorHAnsi"/>
                <w:i/>
                <w:sz w:val="22"/>
              </w:rPr>
            </w:pPr>
            <w:r w:rsidRPr="004B5ACE">
              <w:rPr>
                <w:rFonts w:asciiTheme="minorHAnsi" w:hAnsiTheme="minorHAnsi"/>
                <w:i/>
                <w:sz w:val="22"/>
              </w:rPr>
              <w:t>Summary of findings:</w:t>
            </w:r>
            <w:r>
              <w:rPr>
                <w:rFonts w:asciiTheme="minorHAnsi" w:hAnsiTheme="minorHAnsi"/>
                <w:i/>
                <w:sz w:val="22"/>
              </w:rPr>
              <w:t xml:space="preserve"> Above average ratings for item: ‘</w:t>
            </w:r>
            <w:r w:rsidRPr="00092C30">
              <w:rPr>
                <w:rFonts w:asciiTheme="minorHAnsi" w:hAnsiTheme="minorHAnsi"/>
                <w:i/>
                <w:sz w:val="22"/>
              </w:rPr>
              <w:t>I am confident that I will complete my research degree programme within my i</w:t>
            </w:r>
            <w:r>
              <w:rPr>
                <w:rFonts w:asciiTheme="minorHAnsi" w:hAnsiTheme="minorHAnsi"/>
                <w:i/>
                <w:sz w:val="22"/>
              </w:rPr>
              <w:t>nstitution's expected timescale’, but below average ratings for item: ‘</w:t>
            </w:r>
            <w:r w:rsidRPr="00092C30">
              <w:rPr>
                <w:rFonts w:asciiTheme="minorHAnsi" w:hAnsiTheme="minorHAnsi"/>
                <w:i/>
                <w:sz w:val="22"/>
              </w:rPr>
              <w:t>How would you evaluate your entire research experience at this institution?</w:t>
            </w:r>
            <w:r>
              <w:rPr>
                <w:rFonts w:asciiTheme="minorHAnsi" w:hAnsiTheme="minorHAnsi"/>
                <w:i/>
                <w:sz w:val="22"/>
              </w:rPr>
              <w:t>’</w:t>
            </w:r>
          </w:p>
          <w:p w14:paraId="2949DB7E" w14:textId="77777777" w:rsidR="00092C30" w:rsidRPr="00D27F26" w:rsidRDefault="00092C30" w:rsidP="00092C30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2"/>
              </w:rPr>
            </w:pPr>
            <w:r w:rsidRPr="00D27F26">
              <w:rPr>
                <w:rFonts w:asciiTheme="minorHAnsi" w:hAnsiTheme="minorHAnsi"/>
                <w:b/>
                <w:sz w:val="22"/>
              </w:rPr>
              <w:t xml:space="preserve">Actions: </w:t>
            </w:r>
          </w:p>
          <w:p w14:paraId="117636FC" w14:textId="3F6F8BB1" w:rsidR="00092C30" w:rsidRDefault="00092C30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>13.1 Ensure that P</w:t>
            </w:r>
            <w:r w:rsidR="71BC88DF" w:rsidRPr="6D0C25CF">
              <w:rPr>
                <w:rFonts w:asciiTheme="minorHAnsi" w:hAnsiTheme="minorHAnsi"/>
                <w:sz w:val="22"/>
              </w:rPr>
              <w:t>G</w:t>
            </w:r>
            <w:r w:rsidRPr="6D0C25CF">
              <w:rPr>
                <w:rFonts w:asciiTheme="minorHAnsi" w:hAnsiTheme="minorHAnsi"/>
                <w:sz w:val="22"/>
              </w:rPr>
              <w:t xml:space="preserve">R students </w:t>
            </w:r>
            <w:r w:rsidR="590ED32A" w:rsidRPr="6D0C25CF">
              <w:rPr>
                <w:rFonts w:asciiTheme="minorHAnsi" w:hAnsiTheme="minorHAnsi"/>
                <w:sz w:val="22"/>
              </w:rPr>
              <w:t xml:space="preserve">have access to appropriate facilities and computing resources. </w:t>
            </w:r>
          </w:p>
          <w:p w14:paraId="1DBC5D59" w14:textId="3307450C" w:rsidR="00092C30" w:rsidRDefault="00092C30" w:rsidP="6D0C25CF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6D0C25CF">
              <w:rPr>
                <w:rFonts w:asciiTheme="minorHAnsi" w:hAnsiTheme="minorHAnsi"/>
                <w:sz w:val="22"/>
              </w:rPr>
              <w:t xml:space="preserve">13.2 Promote events that promote feelings of connectedness to the School and University, e.g. School seminar series, Training events, School </w:t>
            </w:r>
            <w:r w:rsidR="78231F43" w:rsidRPr="6D0C25CF">
              <w:rPr>
                <w:rFonts w:asciiTheme="minorHAnsi" w:hAnsiTheme="minorHAnsi"/>
                <w:sz w:val="22"/>
              </w:rPr>
              <w:t>R</w:t>
            </w:r>
            <w:r w:rsidRPr="6D0C25CF">
              <w:rPr>
                <w:rFonts w:asciiTheme="minorHAnsi" w:hAnsiTheme="minorHAnsi"/>
                <w:sz w:val="22"/>
              </w:rPr>
              <w:t xml:space="preserve">esearch </w:t>
            </w:r>
            <w:r w:rsidR="040AB021" w:rsidRPr="6D0C25CF">
              <w:rPr>
                <w:rFonts w:asciiTheme="minorHAnsi" w:hAnsiTheme="minorHAnsi"/>
                <w:sz w:val="22"/>
              </w:rPr>
              <w:t>D</w:t>
            </w:r>
            <w:r w:rsidRPr="6D0C25CF">
              <w:rPr>
                <w:rFonts w:asciiTheme="minorHAnsi" w:hAnsiTheme="minorHAnsi"/>
                <w:sz w:val="22"/>
              </w:rPr>
              <w:t>ay.</w:t>
            </w:r>
          </w:p>
          <w:p w14:paraId="05354305" w14:textId="3AC721F1" w:rsidR="0012252C" w:rsidRPr="00AB71A1" w:rsidRDefault="0012252C" w:rsidP="00092C30">
            <w:pPr>
              <w:spacing w:after="154" w:line="259" w:lineRule="auto"/>
              <w:ind w:left="0" w:firstLine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13.3 PhD reps will lead on creating a forum to promote regular communication within their PhD year cohort</w:t>
            </w:r>
          </w:p>
        </w:tc>
        <w:tc>
          <w:tcPr>
            <w:tcW w:w="1320" w:type="dxa"/>
          </w:tcPr>
          <w:p w14:paraId="6758C5CB" w14:textId="27CBA9EF" w:rsidR="001C66E1" w:rsidRDefault="00E13602" w:rsidP="00E13602">
            <w:pPr>
              <w:spacing w:after="154" w:line="259" w:lineRule="auto"/>
              <w:ind w:left="0" w:firstLine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2"/>
              </w:rPr>
              <w:t>Director of PGR and School Executive</w:t>
            </w:r>
          </w:p>
        </w:tc>
        <w:tc>
          <w:tcPr>
            <w:tcW w:w="1303" w:type="dxa"/>
          </w:tcPr>
          <w:p w14:paraId="53A8F8AD" w14:textId="34B7BA2A" w:rsidR="001C66E1" w:rsidRDefault="00ED2A18" w:rsidP="6D0C25CF">
            <w:pPr>
              <w:pStyle w:val="NoSpacing"/>
              <w:spacing w:after="154" w:line="259" w:lineRule="auto"/>
              <w:rPr>
                <w:rFonts w:asciiTheme="minorHAnsi" w:hAnsiTheme="minorHAnsi" w:cstheme="minorBidi"/>
                <w:b/>
                <w:bCs/>
                <w:color w:val="auto"/>
                <w:sz w:val="22"/>
              </w:rPr>
            </w:pPr>
            <w:r w:rsidRPr="6D0C25CF">
              <w:rPr>
                <w:rFonts w:asciiTheme="minorHAnsi" w:hAnsiTheme="minorHAnsi" w:cstheme="minorBidi"/>
                <w:b/>
                <w:bCs/>
                <w:color w:val="ED7D31" w:themeColor="accent2"/>
                <w:sz w:val="22"/>
              </w:rPr>
              <w:t xml:space="preserve">*In Progress </w:t>
            </w:r>
          </w:p>
        </w:tc>
      </w:tr>
    </w:tbl>
    <w:p w14:paraId="08555FB6" w14:textId="77777777" w:rsidR="005C3FE0" w:rsidRDefault="005C3FE0">
      <w:pPr>
        <w:pStyle w:val="Heading1"/>
        <w:spacing w:after="0"/>
        <w:ind w:left="-5"/>
      </w:pPr>
    </w:p>
    <w:sectPr w:rsidR="005C3FE0" w:rsidSect="001C66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249" w:bottom="851" w:left="425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5C810" w14:textId="77777777" w:rsidR="008F4D48" w:rsidRDefault="008F4D48">
      <w:pPr>
        <w:spacing w:after="0" w:line="240" w:lineRule="auto"/>
      </w:pPr>
      <w:r>
        <w:separator/>
      </w:r>
    </w:p>
  </w:endnote>
  <w:endnote w:type="continuationSeparator" w:id="0">
    <w:p w14:paraId="767ED91F" w14:textId="77777777" w:rsidR="008F4D48" w:rsidRDefault="008F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77F8" w14:textId="77777777" w:rsidR="00AE1CD6" w:rsidRDefault="00AE1CD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94138CA" w14:textId="77777777" w:rsidR="00AE1CD6" w:rsidRDefault="00AE1CD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87E7E" w14:textId="77777777" w:rsidR="00000DA1" w:rsidRPr="00000DA1" w:rsidRDefault="00000DA1" w:rsidP="00300FE9">
    <w:pPr>
      <w:pStyle w:val="Footer"/>
      <w:rPr>
        <w:sz w:val="16"/>
        <w:szCs w:val="16"/>
      </w:rPr>
    </w:pPr>
  </w:p>
  <w:p w14:paraId="72297DA3" w14:textId="77777777" w:rsidR="00AE1CD6" w:rsidRDefault="00AE1CD6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4E04" w14:textId="77777777" w:rsidR="00AE1CD6" w:rsidRDefault="00AE1CD6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FDCB0C9" w14:textId="77777777" w:rsidR="00AE1CD6" w:rsidRDefault="00AE1CD6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6CBA" w14:textId="77777777" w:rsidR="008F4D48" w:rsidRDefault="008F4D48">
      <w:pPr>
        <w:spacing w:after="0" w:line="240" w:lineRule="auto"/>
      </w:pPr>
      <w:r>
        <w:separator/>
      </w:r>
    </w:p>
  </w:footnote>
  <w:footnote w:type="continuationSeparator" w:id="0">
    <w:p w14:paraId="551487C3" w14:textId="77777777" w:rsidR="008F4D48" w:rsidRDefault="008F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D299" w14:textId="77777777" w:rsidR="00FE249D" w:rsidRDefault="00FE2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45C3" w14:textId="77777777" w:rsidR="00FE249D" w:rsidRDefault="00FE24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EAF7D" w14:textId="77777777" w:rsidR="00FE249D" w:rsidRDefault="00FE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6F9B"/>
    <w:multiLevelType w:val="hybridMultilevel"/>
    <w:tmpl w:val="BBD091A0"/>
    <w:lvl w:ilvl="0" w:tplc="39E67F94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4C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463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2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26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C3D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41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A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F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C37634"/>
    <w:multiLevelType w:val="hybridMultilevel"/>
    <w:tmpl w:val="D6ECC028"/>
    <w:lvl w:ilvl="0" w:tplc="538234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0486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48F50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5B1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0520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5EE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A8F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A6D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6AD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536D57"/>
    <w:multiLevelType w:val="hybridMultilevel"/>
    <w:tmpl w:val="E47C162E"/>
    <w:lvl w:ilvl="0" w:tplc="6C2AE1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A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62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0D3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A11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848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90F4B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0CA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0D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BE22A4"/>
    <w:multiLevelType w:val="hybridMultilevel"/>
    <w:tmpl w:val="2EEA0E36"/>
    <w:lvl w:ilvl="0" w:tplc="91BC6F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0A6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250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6C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013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2F6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834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56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61E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C67FF4"/>
    <w:multiLevelType w:val="hybridMultilevel"/>
    <w:tmpl w:val="06AC3B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B4A4C"/>
    <w:multiLevelType w:val="hybridMultilevel"/>
    <w:tmpl w:val="E200D384"/>
    <w:lvl w:ilvl="0" w:tplc="0EDA1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B3629"/>
    <w:multiLevelType w:val="hybridMultilevel"/>
    <w:tmpl w:val="0A301382"/>
    <w:lvl w:ilvl="0" w:tplc="A8B497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09208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A1E0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A7EC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68C8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AF86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A66F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20A1D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0C4FB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6056556">
    <w:abstractNumId w:val="2"/>
  </w:num>
  <w:num w:numId="2" w16cid:durableId="2040011799">
    <w:abstractNumId w:val="1"/>
  </w:num>
  <w:num w:numId="3" w16cid:durableId="1712151171">
    <w:abstractNumId w:val="3"/>
  </w:num>
  <w:num w:numId="4" w16cid:durableId="619923102">
    <w:abstractNumId w:val="0"/>
  </w:num>
  <w:num w:numId="5" w16cid:durableId="1906840160">
    <w:abstractNumId w:val="6"/>
  </w:num>
  <w:num w:numId="6" w16cid:durableId="96759475">
    <w:abstractNumId w:val="4"/>
  </w:num>
  <w:num w:numId="7" w16cid:durableId="887961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3C"/>
    <w:rsid w:val="00000DA1"/>
    <w:rsid w:val="00071EB5"/>
    <w:rsid w:val="000854E2"/>
    <w:rsid w:val="00092C30"/>
    <w:rsid w:val="0012252C"/>
    <w:rsid w:val="001530FE"/>
    <w:rsid w:val="001C66E1"/>
    <w:rsid w:val="001D719B"/>
    <w:rsid w:val="0025084C"/>
    <w:rsid w:val="002833D0"/>
    <w:rsid w:val="00291A5B"/>
    <w:rsid w:val="00291BFB"/>
    <w:rsid w:val="00300FE9"/>
    <w:rsid w:val="00337359"/>
    <w:rsid w:val="003C7163"/>
    <w:rsid w:val="003C7D7B"/>
    <w:rsid w:val="003D21E4"/>
    <w:rsid w:val="0041522B"/>
    <w:rsid w:val="00482CB6"/>
    <w:rsid w:val="004B5ACE"/>
    <w:rsid w:val="004E2192"/>
    <w:rsid w:val="004E41A6"/>
    <w:rsid w:val="00525E49"/>
    <w:rsid w:val="00541B00"/>
    <w:rsid w:val="00553911"/>
    <w:rsid w:val="0056260A"/>
    <w:rsid w:val="00567159"/>
    <w:rsid w:val="00574A5C"/>
    <w:rsid w:val="00591E96"/>
    <w:rsid w:val="005C3FE0"/>
    <w:rsid w:val="00632C55"/>
    <w:rsid w:val="00656474"/>
    <w:rsid w:val="00680157"/>
    <w:rsid w:val="006D2615"/>
    <w:rsid w:val="00765656"/>
    <w:rsid w:val="007C27CB"/>
    <w:rsid w:val="008504D9"/>
    <w:rsid w:val="0086076A"/>
    <w:rsid w:val="008C3FDC"/>
    <w:rsid w:val="008D5A3C"/>
    <w:rsid w:val="008F3135"/>
    <w:rsid w:val="008F4D48"/>
    <w:rsid w:val="009F2620"/>
    <w:rsid w:val="00A72072"/>
    <w:rsid w:val="00A84B85"/>
    <w:rsid w:val="00AB0E9F"/>
    <w:rsid w:val="00AB71A1"/>
    <w:rsid w:val="00AE1CD6"/>
    <w:rsid w:val="00B07A19"/>
    <w:rsid w:val="00B4330F"/>
    <w:rsid w:val="00BE2A40"/>
    <w:rsid w:val="00C6210D"/>
    <w:rsid w:val="00C64BED"/>
    <w:rsid w:val="00CF09C9"/>
    <w:rsid w:val="00D27F26"/>
    <w:rsid w:val="00D34E0E"/>
    <w:rsid w:val="00D54044"/>
    <w:rsid w:val="00D80B27"/>
    <w:rsid w:val="00D8346D"/>
    <w:rsid w:val="00D9206F"/>
    <w:rsid w:val="00D9708A"/>
    <w:rsid w:val="00E13602"/>
    <w:rsid w:val="00E3180E"/>
    <w:rsid w:val="00E34A9B"/>
    <w:rsid w:val="00EA1287"/>
    <w:rsid w:val="00ED2A18"/>
    <w:rsid w:val="00EF67CC"/>
    <w:rsid w:val="00EF7F0D"/>
    <w:rsid w:val="00F51EBC"/>
    <w:rsid w:val="00F61034"/>
    <w:rsid w:val="00FA3968"/>
    <w:rsid w:val="00FA4DA0"/>
    <w:rsid w:val="00FE249D"/>
    <w:rsid w:val="00FF42DE"/>
    <w:rsid w:val="023C4FDB"/>
    <w:rsid w:val="040AB021"/>
    <w:rsid w:val="04364A20"/>
    <w:rsid w:val="095E5972"/>
    <w:rsid w:val="09EB9AF8"/>
    <w:rsid w:val="0A235BF8"/>
    <w:rsid w:val="0C8F6DC2"/>
    <w:rsid w:val="0EB7C6FC"/>
    <w:rsid w:val="10389E2B"/>
    <w:rsid w:val="11EF67BE"/>
    <w:rsid w:val="152504AF"/>
    <w:rsid w:val="16C0D510"/>
    <w:rsid w:val="17E6B5EC"/>
    <w:rsid w:val="194A7EAF"/>
    <w:rsid w:val="196EFD5D"/>
    <w:rsid w:val="19F875D2"/>
    <w:rsid w:val="1B964A04"/>
    <w:rsid w:val="1BC0DF0E"/>
    <w:rsid w:val="1CD22B14"/>
    <w:rsid w:val="1ECBE6F5"/>
    <w:rsid w:val="1ECDEAC6"/>
    <w:rsid w:val="20C7FCD9"/>
    <w:rsid w:val="214CB387"/>
    <w:rsid w:val="21BB9C6B"/>
    <w:rsid w:val="24DCFC6F"/>
    <w:rsid w:val="24FD144E"/>
    <w:rsid w:val="25597BD5"/>
    <w:rsid w:val="27176E2A"/>
    <w:rsid w:val="2908D284"/>
    <w:rsid w:val="2A67FE23"/>
    <w:rsid w:val="2F4E7B1D"/>
    <w:rsid w:val="31C572F4"/>
    <w:rsid w:val="32219907"/>
    <w:rsid w:val="355939C9"/>
    <w:rsid w:val="36C232C8"/>
    <w:rsid w:val="37004A01"/>
    <w:rsid w:val="37D079A1"/>
    <w:rsid w:val="396C4A02"/>
    <w:rsid w:val="3D033805"/>
    <w:rsid w:val="3E40EA15"/>
    <w:rsid w:val="3E9F0866"/>
    <w:rsid w:val="40A23D12"/>
    <w:rsid w:val="41788AD7"/>
    <w:rsid w:val="43145B38"/>
    <w:rsid w:val="458A89D6"/>
    <w:rsid w:val="4649F829"/>
    <w:rsid w:val="464BFBFA"/>
    <w:rsid w:val="4C20A0AE"/>
    <w:rsid w:val="4E4A69E4"/>
    <w:rsid w:val="4F00255E"/>
    <w:rsid w:val="52B32CC1"/>
    <w:rsid w:val="5891F59D"/>
    <w:rsid w:val="590ED32A"/>
    <w:rsid w:val="5BDF64BD"/>
    <w:rsid w:val="5DC077AF"/>
    <w:rsid w:val="5ED79E36"/>
    <w:rsid w:val="5F55BCF7"/>
    <w:rsid w:val="5F7652C0"/>
    <w:rsid w:val="614ABF79"/>
    <w:rsid w:val="62ADF382"/>
    <w:rsid w:val="63A1F97F"/>
    <w:rsid w:val="6747A4B6"/>
    <w:rsid w:val="6ABF68F3"/>
    <w:rsid w:val="6B3BF7CC"/>
    <w:rsid w:val="6B9CF8E1"/>
    <w:rsid w:val="6BE1E05A"/>
    <w:rsid w:val="6D0C25CF"/>
    <w:rsid w:val="6EC9A860"/>
    <w:rsid w:val="70756232"/>
    <w:rsid w:val="715FCC41"/>
    <w:rsid w:val="71BC88DF"/>
    <w:rsid w:val="71FE598D"/>
    <w:rsid w:val="74E9E023"/>
    <w:rsid w:val="75FE8FC5"/>
    <w:rsid w:val="776EEBA3"/>
    <w:rsid w:val="77777A3E"/>
    <w:rsid w:val="78231F43"/>
    <w:rsid w:val="7ABCC1DD"/>
    <w:rsid w:val="7ADEDB09"/>
    <w:rsid w:val="7DC7089B"/>
    <w:rsid w:val="7F04AF18"/>
    <w:rsid w:val="7FC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52229"/>
  <w15:docId w15:val="{A7BCC2E9-5464-4A0F-9D26-23CC46A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4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2192"/>
    <w:pPr>
      <w:ind w:left="720"/>
      <w:contextualSpacing/>
    </w:pPr>
  </w:style>
  <w:style w:type="table" w:styleId="TableGrid0">
    <w:name w:val="Table Grid"/>
    <w:basedOn w:val="TableNormal"/>
    <w:uiPriority w:val="39"/>
    <w:rsid w:val="008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A19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7A1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6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47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47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74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6564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00DA1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0DA1"/>
    <w:rPr>
      <w:rFonts w:cs="Times New Roman"/>
      <w:lang w:val="en-US" w:eastAsia="en-US"/>
    </w:rPr>
  </w:style>
  <w:style w:type="paragraph" w:styleId="NoSpacing">
    <w:name w:val="No Spacing"/>
    <w:uiPriority w:val="1"/>
    <w:qFormat/>
    <w:rsid w:val="00300FE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59ece7-115b-4d09-a992-0736880850b1" xsi:nil="true"/>
    <lcf76f155ced4ddcb4097134ff3c332f xmlns="115d27ae-6a50-4eec-a8c0-aa0138fe55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B9A08-A43C-492D-AD21-9F316124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EDB54-867B-4D85-885F-9DB781E3955B}">
  <ds:schemaRefs>
    <ds:schemaRef ds:uri="http://schemas.microsoft.com/office/2006/metadata/properties"/>
    <ds:schemaRef ds:uri="http://schemas.microsoft.com/office/infopath/2007/PartnerControls"/>
    <ds:schemaRef ds:uri="c759ece7-115b-4d09-a992-0736880850b1"/>
    <ds:schemaRef ds:uri="115d27ae-6a50-4eec-a8c0-aa0138fe553c"/>
  </ds:schemaRefs>
</ds:datastoreItem>
</file>

<file path=customXml/itemProps3.xml><?xml version="1.0" encoding="utf-8"?>
<ds:datastoreItem xmlns:ds="http://schemas.openxmlformats.org/officeDocument/2006/customXml" ds:itemID="{A129B7A6-29D6-4657-8FB3-8A9B3D2516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Byrnes, Lucy</dc:creator>
  <cp:keywords/>
  <cp:lastModifiedBy>Faherty, Karl</cp:lastModifiedBy>
  <cp:revision>3</cp:revision>
  <cp:lastPrinted>2019-10-24T10:30:00Z</cp:lastPrinted>
  <dcterms:created xsi:type="dcterms:W3CDTF">2024-05-20T12:43:00Z</dcterms:created>
  <dcterms:modified xsi:type="dcterms:W3CDTF">2024-05-20T12:44:00Z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MediaServiceImageTags">
    <vt:lpwstr/>
  </property>
</Properties>
</file>