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571FA" w14:textId="77777777" w:rsidR="003249D8" w:rsidRPr="00593BA2" w:rsidRDefault="00A92941" w:rsidP="003249D8">
      <w:pPr>
        <w:spacing w:after="240"/>
        <w:jc w:val="center"/>
        <w:rPr>
          <w:b/>
          <w:bCs/>
          <w:spacing w:val="4"/>
        </w:rPr>
      </w:pPr>
      <w:bookmarkStart w:id="0" w:name="_GoBack"/>
      <w:bookmarkEnd w:id="0"/>
      <w:r w:rsidRPr="00593BA2">
        <w:rPr>
          <w:b/>
          <w:bCs/>
          <w:spacing w:val="4"/>
        </w:rPr>
        <w:t>WHO Report Reveals Teenagers Do Not Get a Fair Deal on H</w:t>
      </w:r>
      <w:r w:rsidR="003249D8" w:rsidRPr="00593BA2">
        <w:rPr>
          <w:b/>
          <w:bCs/>
          <w:spacing w:val="4"/>
        </w:rPr>
        <w:t>ealth</w:t>
      </w:r>
    </w:p>
    <w:p w14:paraId="11727C62" w14:textId="77777777" w:rsidR="00593BA2" w:rsidRPr="00593BA2" w:rsidRDefault="00A92941" w:rsidP="00593BA2">
      <w:pPr>
        <w:spacing w:after="240"/>
        <w:ind w:right="216"/>
        <w:rPr>
          <w:bCs/>
          <w:spacing w:val="-3"/>
        </w:rPr>
      </w:pPr>
      <w:r w:rsidRPr="00593BA2">
        <w:rPr>
          <w:b/>
          <w:bCs/>
          <w:spacing w:val="-4"/>
        </w:rPr>
        <w:t>Monday, 30 April, 2012:</w:t>
      </w:r>
      <w:r w:rsidRPr="00593BA2">
        <w:rPr>
          <w:bCs/>
          <w:spacing w:val="-4"/>
        </w:rPr>
        <w:t xml:space="preserve"> </w:t>
      </w:r>
      <w:r w:rsidR="003249D8" w:rsidRPr="00593BA2">
        <w:rPr>
          <w:bCs/>
          <w:spacing w:val="-4"/>
        </w:rPr>
        <w:t xml:space="preserve">Widespread inequalities mean that many young people in the WHO European Region and North </w:t>
      </w:r>
      <w:r w:rsidR="003249D8" w:rsidRPr="00593BA2">
        <w:rPr>
          <w:bCs/>
          <w:spacing w:val="-5"/>
        </w:rPr>
        <w:t xml:space="preserve">America are not as healthy as they could be, according to a new report on the Health Behaviour in </w:t>
      </w:r>
      <w:r w:rsidR="003249D8" w:rsidRPr="00593BA2">
        <w:rPr>
          <w:bCs/>
          <w:spacing w:val="-1"/>
        </w:rPr>
        <w:t>School-aged Children (HBSC) study, published by the WHO Regional Office for Europe.</w:t>
      </w:r>
      <w:r w:rsidR="003249D8" w:rsidRPr="00593BA2">
        <w:rPr>
          <w:bCs/>
          <w:spacing w:val="-1"/>
          <w:w w:val="90"/>
          <w:vertAlign w:val="superscript"/>
        </w:rPr>
        <w:t>1</w:t>
      </w:r>
      <w:r w:rsidR="00593BA2" w:rsidRPr="00593BA2">
        <w:rPr>
          <w:bCs/>
        </w:rPr>
        <w:t xml:space="preserve"> The HBSC Ireland study is based in the Health Promotion Research Centre</w:t>
      </w:r>
      <w:r w:rsidR="00593BA2" w:rsidRPr="00593BA2">
        <w:rPr>
          <w:bCs/>
          <w:spacing w:val="-3"/>
        </w:rPr>
        <w:t xml:space="preserve"> </w:t>
      </w:r>
      <w:r w:rsidR="00593BA2" w:rsidRPr="00593BA2">
        <w:rPr>
          <w:bCs/>
        </w:rPr>
        <w:t xml:space="preserve">at NUI Galway. </w:t>
      </w:r>
    </w:p>
    <w:p w14:paraId="701A790A" w14:textId="77777777" w:rsidR="003249D8" w:rsidRPr="00593BA2" w:rsidRDefault="003249D8" w:rsidP="00593BA2">
      <w:pPr>
        <w:spacing w:after="240"/>
        <w:ind w:right="216"/>
        <w:rPr>
          <w:bCs/>
          <w:spacing w:val="-1"/>
        </w:rPr>
      </w:pPr>
      <w:r w:rsidRPr="00593BA2">
        <w:rPr>
          <w:bCs/>
          <w:spacing w:val="-3"/>
        </w:rPr>
        <w:t xml:space="preserve">“Adolescence is a crucial life stage, when young people lay the foundation for adulthood, whether </w:t>
      </w:r>
      <w:r w:rsidRPr="00593BA2">
        <w:rPr>
          <w:bCs/>
          <w:spacing w:val="-1"/>
        </w:rPr>
        <w:t xml:space="preserve">healthy or otherwise,” said Zsuzsanna Jakab, WHO Regional Director for Europe. “This report </w:t>
      </w:r>
      <w:r w:rsidRPr="00593BA2">
        <w:rPr>
          <w:bCs/>
          <w:spacing w:val="-4"/>
        </w:rPr>
        <w:t xml:space="preserve">shows us that the situation across Europe is not fair: health depends on age, gender, geography and </w:t>
      </w:r>
      <w:r w:rsidRPr="00593BA2">
        <w:rPr>
          <w:bCs/>
          <w:spacing w:val="-2"/>
        </w:rPr>
        <w:t xml:space="preserve">family affluence. But it doesn’t have to be that way. This report gives policy-makers an opportunity </w:t>
      </w:r>
      <w:r w:rsidRPr="00593BA2">
        <w:rPr>
          <w:bCs/>
          <w:spacing w:val="2"/>
        </w:rPr>
        <w:t xml:space="preserve">to act to secure the health of the next generation. Once again, young people have used the opportunity provided by HBSC to speak. It now falls to us – who cherish their aspirations, </w:t>
      </w:r>
      <w:r w:rsidRPr="00593BA2">
        <w:rPr>
          <w:bCs/>
          <w:spacing w:val="-1"/>
        </w:rPr>
        <w:t>ambitions, health and well-being – to act.”</w:t>
      </w:r>
    </w:p>
    <w:p w14:paraId="42A272BD" w14:textId="77777777" w:rsidR="003249D8" w:rsidRPr="00593BA2" w:rsidRDefault="003249D8" w:rsidP="003249D8">
      <w:pPr>
        <w:spacing w:after="240"/>
        <w:ind w:right="144"/>
        <w:rPr>
          <w:bCs/>
        </w:rPr>
      </w:pPr>
      <w:r w:rsidRPr="00593BA2">
        <w:rPr>
          <w:bCs/>
        </w:rPr>
        <w:t>Dr Saoirse Nic Gabhainn, Principal Investigator for HBSC Ireland of the Health Promotion Research Centre, NUI Galway said</w:t>
      </w:r>
      <w:r w:rsidR="00593BA2" w:rsidRPr="00593BA2">
        <w:rPr>
          <w:bCs/>
        </w:rPr>
        <w:t>: “T</w:t>
      </w:r>
      <w:r w:rsidRPr="00593BA2">
        <w:rPr>
          <w:bCs/>
        </w:rPr>
        <w:t>h</w:t>
      </w:r>
      <w:r w:rsidR="00593BA2" w:rsidRPr="00593BA2">
        <w:rPr>
          <w:bCs/>
        </w:rPr>
        <w:t>is</w:t>
      </w:r>
      <w:r w:rsidRPr="00593BA2">
        <w:rPr>
          <w:bCs/>
        </w:rPr>
        <w:t xml:space="preserve"> data are vital to support young people to be healthy and happy, policy makers and practitoners need to recognise that differences in the context of young people’s lives are important and we need to be sensitive to age, gender and socio-</w:t>
      </w:r>
      <w:proofErr w:type="spellStart"/>
      <w:r w:rsidRPr="00593BA2">
        <w:rPr>
          <w:bCs/>
        </w:rPr>
        <w:t>eoncomic</w:t>
      </w:r>
      <w:proofErr w:type="spellEnd"/>
      <w:r w:rsidRPr="00593BA2">
        <w:rPr>
          <w:bCs/>
        </w:rPr>
        <w:t xml:space="preserve"> differences</w:t>
      </w:r>
      <w:r w:rsidR="00593BA2" w:rsidRPr="00593BA2">
        <w:rPr>
          <w:bCs/>
        </w:rPr>
        <w:t>.</w:t>
      </w:r>
      <w:r w:rsidRPr="00593BA2">
        <w:rPr>
          <w:bCs/>
        </w:rPr>
        <w:t>”</w:t>
      </w:r>
    </w:p>
    <w:p w14:paraId="6D188B1C" w14:textId="77777777" w:rsidR="003249D8" w:rsidRPr="00593BA2" w:rsidRDefault="003249D8" w:rsidP="003249D8">
      <w:pPr>
        <w:spacing w:after="240"/>
        <w:ind w:right="288"/>
        <w:rPr>
          <w:bCs/>
          <w:spacing w:val="-1"/>
        </w:rPr>
      </w:pPr>
      <w:r w:rsidRPr="00593BA2">
        <w:rPr>
          <w:bCs/>
          <w:spacing w:val="-1"/>
        </w:rPr>
        <w:t xml:space="preserve">The report gives the results of the 2009/2010 HBSC survey, covering 39 countries and regions </w:t>
      </w:r>
      <w:r w:rsidRPr="00593BA2">
        <w:rPr>
          <w:bCs/>
          <w:spacing w:val="-3"/>
        </w:rPr>
        <w:t xml:space="preserve">across the European Region and North America. The survey collected data from 11-, 13- and 15- year-olds on 60 topics related to their health and well-being, social environments and behaviour. </w:t>
      </w:r>
      <w:r w:rsidRPr="00593BA2">
        <w:rPr>
          <w:bCs/>
          <w:spacing w:val="-1"/>
        </w:rPr>
        <w:t>HBSC reports have been issued every four years since 1996.</w:t>
      </w:r>
    </w:p>
    <w:p w14:paraId="619D91D4" w14:textId="77777777" w:rsidR="00A92941" w:rsidRPr="00593BA2" w:rsidRDefault="003249D8" w:rsidP="00A92941">
      <w:pPr>
        <w:spacing w:after="240" w:line="204" w:lineRule="auto"/>
        <w:rPr>
          <w:b/>
          <w:bCs/>
          <w:i/>
          <w:spacing w:val="4"/>
        </w:rPr>
      </w:pPr>
      <w:r w:rsidRPr="00593BA2">
        <w:rPr>
          <w:b/>
          <w:bCs/>
          <w:i/>
          <w:spacing w:val="4"/>
        </w:rPr>
        <w:t>Cross-national differences</w:t>
      </w:r>
    </w:p>
    <w:p w14:paraId="74F05824" w14:textId="77777777" w:rsidR="003249D8" w:rsidRPr="00593BA2" w:rsidRDefault="003249D8" w:rsidP="00A92941">
      <w:pPr>
        <w:spacing w:after="240"/>
        <w:rPr>
          <w:b/>
          <w:bCs/>
          <w:i/>
          <w:spacing w:val="4"/>
        </w:rPr>
      </w:pPr>
      <w:r w:rsidRPr="00593BA2">
        <w:rPr>
          <w:bCs/>
          <w:spacing w:val="-3"/>
        </w:rPr>
        <w:t xml:space="preserve">The latest report reveals important inequalities between countries. For example, rates of overweight </w:t>
      </w:r>
      <w:r w:rsidRPr="00593BA2">
        <w:rPr>
          <w:bCs/>
          <w:spacing w:val="-2"/>
        </w:rPr>
        <w:t xml:space="preserve">and obesity for girls aged 11 range from 20% in Portugal and 30% in the United States of America, </w:t>
      </w:r>
      <w:r w:rsidRPr="00593BA2">
        <w:rPr>
          <w:bCs/>
        </w:rPr>
        <w:t xml:space="preserve">to only 5% in Switzerland </w:t>
      </w:r>
      <w:r w:rsidRPr="00593BA2">
        <w:rPr>
          <w:b/>
          <w:bCs/>
        </w:rPr>
        <w:t>(18% in Ireland, rank 3r</w:t>
      </w:r>
      <w:r w:rsidRPr="00593BA2">
        <w:rPr>
          <w:b/>
          <w:bCs/>
          <w:vertAlign w:val="superscript"/>
        </w:rPr>
        <w:t>d</w:t>
      </w:r>
      <w:r w:rsidRPr="00593BA2">
        <w:rPr>
          <w:b/>
          <w:bCs/>
        </w:rPr>
        <w:t>).</w:t>
      </w:r>
      <w:r w:rsidRPr="00593BA2">
        <w:rPr>
          <w:bCs/>
        </w:rPr>
        <w:t xml:space="preserve"> Smoking rates, although fairly similar at age 11 (under 1%), differ </w:t>
      </w:r>
      <w:r w:rsidRPr="00593BA2">
        <w:rPr>
          <w:bCs/>
          <w:spacing w:val="-1"/>
        </w:rPr>
        <w:t xml:space="preserve">dramatically across countries by age 15: over 25% in Austria and Lithuania, but 10% in Norway </w:t>
      </w:r>
      <w:r w:rsidRPr="00593BA2">
        <w:rPr>
          <w:bCs/>
          <w:spacing w:val="-3"/>
        </w:rPr>
        <w:t xml:space="preserve">and Portugal </w:t>
      </w:r>
      <w:r w:rsidRPr="00593BA2">
        <w:rPr>
          <w:b/>
          <w:bCs/>
          <w:spacing w:val="-3"/>
        </w:rPr>
        <w:t>(</w:t>
      </w:r>
      <w:r w:rsidR="00B16F39" w:rsidRPr="00593BA2">
        <w:rPr>
          <w:b/>
          <w:bCs/>
          <w:spacing w:val="-3"/>
        </w:rPr>
        <w:t>13</w:t>
      </w:r>
      <w:r w:rsidRPr="00593BA2">
        <w:rPr>
          <w:b/>
          <w:bCs/>
          <w:spacing w:val="-3"/>
        </w:rPr>
        <w:t>% in Ireland, rank 30</w:t>
      </w:r>
      <w:r w:rsidRPr="00593BA2">
        <w:rPr>
          <w:b/>
          <w:bCs/>
          <w:spacing w:val="-3"/>
          <w:vertAlign w:val="superscript"/>
        </w:rPr>
        <w:t>th</w:t>
      </w:r>
      <w:proofErr w:type="gramStart"/>
      <w:r w:rsidRPr="00593BA2">
        <w:rPr>
          <w:b/>
          <w:bCs/>
          <w:spacing w:val="-3"/>
        </w:rPr>
        <w:t>)</w:t>
      </w:r>
      <w:r w:rsidRPr="00593BA2">
        <w:rPr>
          <w:bCs/>
          <w:spacing w:val="-3"/>
        </w:rPr>
        <w:t xml:space="preserve"> .</w:t>
      </w:r>
      <w:proofErr w:type="gramEnd"/>
      <w:r w:rsidRPr="00593BA2">
        <w:rPr>
          <w:bCs/>
          <w:spacing w:val="-3"/>
        </w:rPr>
        <w:t xml:space="preserve"> This suggests that the socioenvironmental context can be changed to benefit young </w:t>
      </w:r>
      <w:r w:rsidRPr="00593BA2">
        <w:rPr>
          <w:bCs/>
        </w:rPr>
        <w:t>people’s health.</w:t>
      </w:r>
    </w:p>
    <w:p w14:paraId="43724D05" w14:textId="77777777" w:rsidR="003249D8" w:rsidRPr="00593BA2" w:rsidRDefault="003249D8" w:rsidP="00A92941">
      <w:pPr>
        <w:spacing w:after="240"/>
        <w:ind w:right="144"/>
        <w:rPr>
          <w:b/>
          <w:bCs/>
          <w:spacing w:val="4"/>
        </w:rPr>
      </w:pPr>
      <w:r w:rsidRPr="00593BA2">
        <w:rPr>
          <w:bCs/>
          <w:spacing w:val="-4"/>
        </w:rPr>
        <w:t xml:space="preserve">Young people’s experience of school also differs; 89% of 11-year-old girls in the </w:t>
      </w:r>
      <w:proofErr w:type="gramStart"/>
      <w:r w:rsidRPr="00593BA2">
        <w:rPr>
          <w:bCs/>
          <w:spacing w:val="-4"/>
        </w:rPr>
        <w:t>former</w:t>
      </w:r>
      <w:proofErr w:type="gramEnd"/>
      <w:r w:rsidRPr="00593BA2">
        <w:rPr>
          <w:bCs/>
          <w:spacing w:val="-4"/>
        </w:rPr>
        <w:t xml:space="preserve"> Yugoslav </w:t>
      </w:r>
      <w:r w:rsidRPr="00593BA2">
        <w:rPr>
          <w:bCs/>
          <w:spacing w:val="-1"/>
        </w:rPr>
        <w:t xml:space="preserve">Republic of Macedonia like school, in contrast to 17% in Croatia </w:t>
      </w:r>
      <w:r w:rsidRPr="00593BA2">
        <w:rPr>
          <w:b/>
          <w:bCs/>
          <w:spacing w:val="-1"/>
        </w:rPr>
        <w:t xml:space="preserve">(34% in Ireland, ranks </w:t>
      </w:r>
      <w:r w:rsidR="00B16F39" w:rsidRPr="00593BA2">
        <w:rPr>
          <w:b/>
          <w:bCs/>
          <w:spacing w:val="-1"/>
        </w:rPr>
        <w:t>31</w:t>
      </w:r>
      <w:r w:rsidR="00B16F39" w:rsidRPr="00593BA2">
        <w:rPr>
          <w:b/>
          <w:bCs/>
          <w:spacing w:val="-1"/>
          <w:vertAlign w:val="superscript"/>
        </w:rPr>
        <w:t>st</w:t>
      </w:r>
      <w:r w:rsidRPr="00593BA2">
        <w:rPr>
          <w:b/>
          <w:bCs/>
          <w:spacing w:val="-1"/>
        </w:rPr>
        <w:t>).</w:t>
      </w:r>
    </w:p>
    <w:p w14:paraId="1301A10B" w14:textId="77777777" w:rsidR="003249D8" w:rsidRPr="00593BA2" w:rsidRDefault="003249D8" w:rsidP="003249D8">
      <w:pPr>
        <w:spacing w:after="240"/>
        <w:ind w:right="144"/>
        <w:rPr>
          <w:bCs/>
          <w:spacing w:val="4"/>
        </w:rPr>
      </w:pPr>
    </w:p>
    <w:p w14:paraId="408BEFDF" w14:textId="77777777" w:rsidR="003249D8" w:rsidRPr="00593BA2" w:rsidRDefault="003249D8" w:rsidP="003249D8">
      <w:pPr>
        <w:spacing w:after="240"/>
        <w:ind w:right="144"/>
        <w:rPr>
          <w:b/>
          <w:bCs/>
          <w:i/>
          <w:spacing w:val="4"/>
        </w:rPr>
      </w:pPr>
      <w:r w:rsidRPr="00593BA2">
        <w:rPr>
          <w:b/>
          <w:bCs/>
          <w:i/>
          <w:spacing w:val="4"/>
        </w:rPr>
        <w:t>L</w:t>
      </w:r>
      <w:r w:rsidRPr="00593BA2">
        <w:rPr>
          <w:b/>
          <w:bCs/>
          <w:i/>
          <w:spacing w:val="-2"/>
        </w:rPr>
        <w:t>ong term effects of adolesent health</w:t>
      </w:r>
    </w:p>
    <w:p w14:paraId="537E25C9" w14:textId="77777777" w:rsidR="003249D8" w:rsidRPr="00593BA2" w:rsidRDefault="003249D8" w:rsidP="003249D8">
      <w:pPr>
        <w:spacing w:after="240"/>
        <w:rPr>
          <w:b/>
          <w:bCs/>
          <w:spacing w:val="-2"/>
        </w:rPr>
      </w:pPr>
      <w:r w:rsidRPr="00593BA2">
        <w:rPr>
          <w:bCs/>
          <w:spacing w:val="-2"/>
        </w:rPr>
        <w:t xml:space="preserve">Health inequalities emerge or worsen during adolescence, and may translate into lasting inequalities </w:t>
      </w:r>
      <w:r w:rsidRPr="00593BA2">
        <w:rPr>
          <w:bCs/>
        </w:rPr>
        <w:t xml:space="preserve">in adulthood if, for example, academic potential is not achieved. Adolescence is clearly a key stage for mental health, especially for girls. Girls’ satisfaction with their lives declines between ages 11 </w:t>
      </w:r>
      <w:r w:rsidRPr="00593BA2">
        <w:rPr>
          <w:bCs/>
          <w:spacing w:val="-2"/>
        </w:rPr>
        <w:t xml:space="preserve">and 15. In Poland and Sweden, this decrease is around 15%, in contrast to 5% for boys </w:t>
      </w:r>
      <w:r w:rsidRPr="00593BA2">
        <w:rPr>
          <w:b/>
          <w:bCs/>
          <w:spacing w:val="-2"/>
        </w:rPr>
        <w:t>(in Ireland the decrease is 12% for girls and 6% for boy</w:t>
      </w:r>
      <w:r w:rsidR="00B16F39" w:rsidRPr="00593BA2">
        <w:rPr>
          <w:b/>
          <w:bCs/>
          <w:spacing w:val="-2"/>
        </w:rPr>
        <w:t>s</w:t>
      </w:r>
      <w:r w:rsidRPr="00593BA2">
        <w:rPr>
          <w:b/>
          <w:bCs/>
          <w:spacing w:val="-2"/>
        </w:rPr>
        <w:t>, ran</w:t>
      </w:r>
      <w:r w:rsidR="0084345C" w:rsidRPr="00593BA2">
        <w:rPr>
          <w:b/>
          <w:bCs/>
          <w:spacing w:val="-2"/>
        </w:rPr>
        <w:t>k</w:t>
      </w:r>
      <w:r w:rsidRPr="00593BA2">
        <w:rPr>
          <w:b/>
          <w:bCs/>
          <w:spacing w:val="-2"/>
        </w:rPr>
        <w:t>ing 13</w:t>
      </w:r>
      <w:r w:rsidRPr="00593BA2">
        <w:rPr>
          <w:b/>
          <w:bCs/>
          <w:spacing w:val="-2"/>
          <w:vertAlign w:val="superscript"/>
        </w:rPr>
        <w:t>th</w:t>
      </w:r>
      <w:r w:rsidRPr="00593BA2">
        <w:rPr>
          <w:b/>
          <w:bCs/>
          <w:spacing w:val="-2"/>
        </w:rPr>
        <w:t xml:space="preserve"> at age 11 and 30</w:t>
      </w:r>
      <w:r w:rsidRPr="00593BA2">
        <w:rPr>
          <w:b/>
          <w:bCs/>
          <w:spacing w:val="-2"/>
          <w:vertAlign w:val="superscript"/>
        </w:rPr>
        <w:t>th</w:t>
      </w:r>
      <w:r w:rsidRPr="00593BA2">
        <w:rPr>
          <w:b/>
          <w:bCs/>
          <w:spacing w:val="-2"/>
        </w:rPr>
        <w:t xml:space="preserve"> at 15).</w:t>
      </w:r>
    </w:p>
    <w:p w14:paraId="297C7FD0" w14:textId="77777777" w:rsidR="003249D8" w:rsidRPr="00593BA2" w:rsidRDefault="003249D8" w:rsidP="003249D8">
      <w:pPr>
        <w:spacing w:after="240"/>
        <w:rPr>
          <w:bCs/>
          <w:spacing w:val="-2"/>
        </w:rPr>
      </w:pPr>
      <w:r w:rsidRPr="00593BA2">
        <w:rPr>
          <w:bCs/>
          <w:spacing w:val="-2"/>
        </w:rPr>
        <w:lastRenderedPageBreak/>
        <w:t xml:space="preserve">In addition, health-compromising behaviour increases during the adolescent years. Between ages 11 </w:t>
      </w:r>
      <w:r w:rsidRPr="00593BA2">
        <w:rPr>
          <w:bCs/>
          <w:spacing w:val="-1"/>
        </w:rPr>
        <w:t xml:space="preserve">and 15, the average proportion of young people who report weekly smoking and drinking increases </w:t>
      </w:r>
      <w:r w:rsidRPr="00593BA2">
        <w:rPr>
          <w:bCs/>
          <w:spacing w:val="1"/>
        </w:rPr>
        <w:t xml:space="preserve">by 17%. Many of these young smokers will continue the habit throughout adulthood. Similarly, </w:t>
      </w:r>
      <w:r w:rsidRPr="00593BA2">
        <w:rPr>
          <w:bCs/>
          <w:spacing w:val="-6"/>
        </w:rPr>
        <w:t xml:space="preserve">early sexual activity is an important marker for poor sexual health in adulthood, as well as other risk </w:t>
      </w:r>
      <w:r w:rsidRPr="00593BA2">
        <w:rPr>
          <w:bCs/>
        </w:rPr>
        <w:t xml:space="preserve">behaviour in adolescence. The report reveals that, on average, 26% of 15-year-olds are sexually </w:t>
      </w:r>
      <w:r w:rsidRPr="00593BA2">
        <w:rPr>
          <w:bCs/>
          <w:spacing w:val="-2"/>
        </w:rPr>
        <w:t xml:space="preserve">active </w:t>
      </w:r>
      <w:r w:rsidR="00B16F39" w:rsidRPr="00593BA2">
        <w:rPr>
          <w:b/>
          <w:bCs/>
          <w:spacing w:val="-2"/>
        </w:rPr>
        <w:t>(in Ireland 22</w:t>
      </w:r>
      <w:r w:rsidRPr="00593BA2">
        <w:rPr>
          <w:b/>
          <w:bCs/>
          <w:spacing w:val="-2"/>
        </w:rPr>
        <w:t>%, rank 28</w:t>
      </w:r>
      <w:r w:rsidRPr="00593BA2">
        <w:rPr>
          <w:b/>
          <w:bCs/>
          <w:spacing w:val="-2"/>
          <w:vertAlign w:val="superscript"/>
        </w:rPr>
        <w:t>th</w:t>
      </w:r>
      <w:r w:rsidRPr="00593BA2">
        <w:rPr>
          <w:b/>
          <w:bCs/>
          <w:spacing w:val="-2"/>
        </w:rPr>
        <w:t>).</w:t>
      </w:r>
      <w:r w:rsidRPr="00593BA2">
        <w:rPr>
          <w:bCs/>
          <w:spacing w:val="-2"/>
        </w:rPr>
        <w:t xml:space="preserve"> In addition, healthy behaviour, such as eating breakfast and fruit, declines.</w:t>
      </w:r>
    </w:p>
    <w:p w14:paraId="284028B4" w14:textId="77777777" w:rsidR="003249D8" w:rsidRPr="00593BA2" w:rsidRDefault="003249D8" w:rsidP="003249D8">
      <w:pPr>
        <w:spacing w:after="240"/>
        <w:rPr>
          <w:bCs/>
          <w:spacing w:val="-2"/>
        </w:rPr>
      </w:pPr>
    </w:p>
    <w:p w14:paraId="40664893" w14:textId="77777777" w:rsidR="003249D8" w:rsidRPr="00593BA2" w:rsidRDefault="003249D8" w:rsidP="003249D8">
      <w:pPr>
        <w:spacing w:after="240" w:line="213" w:lineRule="auto"/>
        <w:rPr>
          <w:b/>
          <w:bCs/>
          <w:i/>
          <w:spacing w:val="4"/>
        </w:rPr>
      </w:pPr>
      <w:r w:rsidRPr="00593BA2">
        <w:rPr>
          <w:b/>
          <w:bCs/>
          <w:i/>
          <w:spacing w:val="4"/>
        </w:rPr>
        <w:t>Gender differences</w:t>
      </w:r>
    </w:p>
    <w:p w14:paraId="2EFAF84F" w14:textId="77777777" w:rsidR="003249D8" w:rsidRPr="00593BA2" w:rsidRDefault="003249D8" w:rsidP="003249D8">
      <w:pPr>
        <w:spacing w:after="240"/>
        <w:jc w:val="both"/>
        <w:rPr>
          <w:bCs/>
          <w:spacing w:val="-1"/>
        </w:rPr>
      </w:pPr>
      <w:r w:rsidRPr="00593BA2">
        <w:rPr>
          <w:bCs/>
          <w:spacing w:val="-5"/>
        </w:rPr>
        <w:t xml:space="preserve">Boys and girls display different patterns of healthy and unhealthy behaviour, particularly at age 15. </w:t>
      </w:r>
      <w:r w:rsidRPr="00593BA2">
        <w:rPr>
          <w:bCs/>
          <w:spacing w:val="-3"/>
        </w:rPr>
        <w:t xml:space="preserve">Although boys are more likely to be involved in fights and bullying at all ages, a 15-year-old boy in </w:t>
      </w:r>
      <w:r w:rsidRPr="00593BA2">
        <w:rPr>
          <w:bCs/>
          <w:spacing w:val="-1"/>
        </w:rPr>
        <w:t xml:space="preserve">Latvia is more than 12 times more likely to be bullied by his peers than a girl in Italy </w:t>
      </w:r>
      <w:r w:rsidRPr="00593BA2">
        <w:rPr>
          <w:b/>
          <w:bCs/>
          <w:spacing w:val="-1"/>
        </w:rPr>
        <w:t>(in Ireland bullying is reported by 4% of 15 year old girls and 10% of 15 year old boys, ranking 27</w:t>
      </w:r>
      <w:r w:rsidRPr="00593BA2">
        <w:rPr>
          <w:b/>
          <w:bCs/>
          <w:spacing w:val="-1"/>
          <w:vertAlign w:val="superscript"/>
        </w:rPr>
        <w:t>th</w:t>
      </w:r>
      <w:r w:rsidRPr="00593BA2">
        <w:rPr>
          <w:b/>
          <w:bCs/>
          <w:spacing w:val="-1"/>
        </w:rPr>
        <w:t xml:space="preserve">) </w:t>
      </w:r>
      <w:r w:rsidRPr="00593BA2">
        <w:rPr>
          <w:bCs/>
          <w:spacing w:val="-1"/>
        </w:rPr>
        <w:t>.</w:t>
      </w:r>
    </w:p>
    <w:p w14:paraId="6D14BE6C" w14:textId="77777777" w:rsidR="003249D8" w:rsidRPr="00593BA2" w:rsidRDefault="003249D8" w:rsidP="003249D8">
      <w:pPr>
        <w:spacing w:after="240"/>
        <w:rPr>
          <w:bCs/>
          <w:spacing w:val="-3"/>
        </w:rPr>
      </w:pPr>
      <w:r w:rsidRPr="00593BA2">
        <w:rPr>
          <w:bCs/>
          <w:spacing w:val="-6"/>
        </w:rPr>
        <w:t xml:space="preserve">In Armenia, boys are almost five times more likely than girls to have been drunk by age 15. In some </w:t>
      </w:r>
      <w:r w:rsidRPr="00593BA2">
        <w:rPr>
          <w:bCs/>
        </w:rPr>
        <w:t xml:space="preserve">Scandinavian countries and the United Kingdom, however, 15-year-old girls are more likely than </w:t>
      </w:r>
      <w:r w:rsidRPr="00593BA2">
        <w:rPr>
          <w:bCs/>
          <w:spacing w:val="2"/>
        </w:rPr>
        <w:t xml:space="preserve">boys to have been drunk, and to have had sexual intercourse </w:t>
      </w:r>
      <w:r w:rsidRPr="00593BA2">
        <w:rPr>
          <w:b/>
          <w:bCs/>
          <w:spacing w:val="2"/>
        </w:rPr>
        <w:t>(among 15 year olds in Ireland 28% of girls and 30% of boys have been drunk, ranking 22</w:t>
      </w:r>
      <w:r w:rsidRPr="00593BA2">
        <w:rPr>
          <w:b/>
          <w:bCs/>
          <w:spacing w:val="2"/>
          <w:vertAlign w:val="superscript"/>
        </w:rPr>
        <w:t>nd</w:t>
      </w:r>
      <w:r w:rsidRPr="00593BA2">
        <w:rPr>
          <w:b/>
          <w:bCs/>
          <w:spacing w:val="2"/>
        </w:rPr>
        <w:t>).</w:t>
      </w:r>
      <w:r w:rsidRPr="00593BA2">
        <w:rPr>
          <w:bCs/>
          <w:spacing w:val="2"/>
        </w:rPr>
        <w:t xml:space="preserve"> </w:t>
      </w:r>
    </w:p>
    <w:p w14:paraId="4FDA1943" w14:textId="77777777" w:rsidR="003249D8" w:rsidRPr="00593BA2" w:rsidRDefault="003249D8" w:rsidP="003249D8">
      <w:pPr>
        <w:spacing w:before="252" w:after="240"/>
        <w:ind w:right="72"/>
        <w:jc w:val="both"/>
        <w:rPr>
          <w:bCs/>
          <w:spacing w:val="-3"/>
        </w:rPr>
      </w:pPr>
      <w:r w:rsidRPr="00593BA2">
        <w:rPr>
          <w:bCs/>
          <w:spacing w:val="-3"/>
        </w:rPr>
        <w:t xml:space="preserve">Further, girls are more concerned about being too fat and to be on a diet, but less likely than boys to </w:t>
      </w:r>
      <w:r w:rsidRPr="00593BA2">
        <w:rPr>
          <w:bCs/>
          <w:spacing w:val="-2"/>
        </w:rPr>
        <w:t xml:space="preserve">be overweight. Overall, around 40%of girls aged 15 report being dissatisfied with their bodies </w:t>
      </w:r>
      <w:r w:rsidRPr="00593BA2">
        <w:rPr>
          <w:b/>
          <w:bCs/>
          <w:spacing w:val="-2"/>
        </w:rPr>
        <w:t xml:space="preserve">(46% in Ireland, rank </w:t>
      </w:r>
      <w:r w:rsidR="00B16F39" w:rsidRPr="00593BA2">
        <w:rPr>
          <w:b/>
          <w:bCs/>
          <w:spacing w:val="-2"/>
        </w:rPr>
        <w:t>13</w:t>
      </w:r>
      <w:r w:rsidRPr="00593BA2">
        <w:rPr>
          <w:b/>
          <w:bCs/>
          <w:spacing w:val="-2"/>
          <w:vertAlign w:val="superscript"/>
        </w:rPr>
        <w:t>th</w:t>
      </w:r>
      <w:r w:rsidRPr="00593BA2">
        <w:rPr>
          <w:b/>
          <w:bCs/>
          <w:spacing w:val="-2"/>
        </w:rPr>
        <w:t>),</w:t>
      </w:r>
      <w:r w:rsidRPr="00593BA2">
        <w:rPr>
          <w:bCs/>
          <w:spacing w:val="-2"/>
        </w:rPr>
        <w:t xml:space="preserve"> and </w:t>
      </w:r>
      <w:r w:rsidRPr="00593BA2">
        <w:rPr>
          <w:bCs/>
          <w:spacing w:val="-3"/>
        </w:rPr>
        <w:t xml:space="preserve">22% are on a diet </w:t>
      </w:r>
      <w:r w:rsidRPr="00593BA2">
        <w:rPr>
          <w:b/>
          <w:bCs/>
          <w:spacing w:val="-3"/>
        </w:rPr>
        <w:t xml:space="preserve">(21% in Ireland, rank </w:t>
      </w:r>
      <w:r w:rsidR="00B16F39" w:rsidRPr="00593BA2">
        <w:rPr>
          <w:b/>
          <w:bCs/>
          <w:spacing w:val="-3"/>
        </w:rPr>
        <w:t>18</w:t>
      </w:r>
      <w:r w:rsidRPr="00593BA2">
        <w:rPr>
          <w:b/>
          <w:bCs/>
          <w:spacing w:val="-3"/>
          <w:vertAlign w:val="superscript"/>
        </w:rPr>
        <w:t>th</w:t>
      </w:r>
      <w:r w:rsidRPr="00593BA2">
        <w:rPr>
          <w:b/>
          <w:bCs/>
          <w:spacing w:val="-3"/>
        </w:rPr>
        <w:t>),</w:t>
      </w:r>
      <w:r w:rsidRPr="00593BA2">
        <w:rPr>
          <w:bCs/>
          <w:spacing w:val="-3"/>
        </w:rPr>
        <w:t xml:space="preserve"> although just 10% are actually overweight </w:t>
      </w:r>
      <w:r w:rsidR="00B16F39" w:rsidRPr="00593BA2">
        <w:rPr>
          <w:bCs/>
          <w:spacing w:val="-3"/>
        </w:rPr>
        <w:t xml:space="preserve">or obese </w:t>
      </w:r>
      <w:r w:rsidRPr="00593BA2">
        <w:rPr>
          <w:b/>
          <w:bCs/>
          <w:spacing w:val="-3"/>
        </w:rPr>
        <w:t xml:space="preserve">(12% in Ireland, rank </w:t>
      </w:r>
      <w:r w:rsidR="00B16F39" w:rsidRPr="00593BA2">
        <w:rPr>
          <w:b/>
          <w:bCs/>
          <w:spacing w:val="-3"/>
        </w:rPr>
        <w:t>11</w:t>
      </w:r>
      <w:r w:rsidRPr="00593BA2">
        <w:rPr>
          <w:b/>
          <w:bCs/>
          <w:spacing w:val="-3"/>
          <w:vertAlign w:val="superscript"/>
        </w:rPr>
        <w:t>th</w:t>
      </w:r>
      <w:r w:rsidRPr="00593BA2">
        <w:rPr>
          <w:b/>
          <w:bCs/>
          <w:spacing w:val="-3"/>
        </w:rPr>
        <w:t>).</w:t>
      </w:r>
    </w:p>
    <w:p w14:paraId="7D080C0F" w14:textId="77777777" w:rsidR="003249D8" w:rsidRPr="00593BA2" w:rsidRDefault="003249D8" w:rsidP="003249D8">
      <w:pPr>
        <w:spacing w:after="240"/>
        <w:rPr>
          <w:bCs/>
          <w:spacing w:val="4"/>
        </w:rPr>
      </w:pPr>
    </w:p>
    <w:p w14:paraId="38C38ACB" w14:textId="77777777" w:rsidR="003249D8" w:rsidRPr="00593BA2" w:rsidRDefault="003249D8" w:rsidP="003249D8">
      <w:pPr>
        <w:spacing w:after="240"/>
        <w:rPr>
          <w:b/>
          <w:bCs/>
          <w:i/>
          <w:spacing w:val="4"/>
        </w:rPr>
      </w:pPr>
      <w:r w:rsidRPr="00593BA2">
        <w:rPr>
          <w:b/>
          <w:bCs/>
          <w:i/>
          <w:spacing w:val="4"/>
        </w:rPr>
        <w:t>Family affluence</w:t>
      </w:r>
    </w:p>
    <w:p w14:paraId="40B06497" w14:textId="77777777" w:rsidR="003249D8" w:rsidRPr="00593BA2" w:rsidRDefault="003249D8" w:rsidP="003249D8">
      <w:pPr>
        <w:spacing w:after="240"/>
        <w:ind w:right="72"/>
        <w:rPr>
          <w:b/>
          <w:bCs/>
          <w:spacing w:val="-3"/>
        </w:rPr>
      </w:pPr>
      <w:r w:rsidRPr="00593BA2">
        <w:rPr>
          <w:bCs/>
          <w:spacing w:val="-4"/>
        </w:rPr>
        <w:t xml:space="preserve">Unsurprisingly, family affluence is associated with a healthier lifestyle: higher levels of fruit intake, </w:t>
      </w:r>
      <w:r w:rsidRPr="00593BA2">
        <w:rPr>
          <w:bCs/>
          <w:spacing w:val="-3"/>
        </w:rPr>
        <w:t xml:space="preserve">breakfast consumption and physical activity. It is also associated with better communication with parents, greater support from classmates and numbers of close friends, and better mental health </w:t>
      </w:r>
      <w:r w:rsidRPr="00593BA2">
        <w:rPr>
          <w:b/>
          <w:bCs/>
          <w:spacing w:val="-3"/>
        </w:rPr>
        <w:t>(in Ireland only fruit and breakfast consumption are higher among those with higher family affluence).</w:t>
      </w:r>
    </w:p>
    <w:p w14:paraId="4A0FBC56" w14:textId="77777777" w:rsidR="003249D8" w:rsidRPr="00593BA2" w:rsidRDefault="003249D8" w:rsidP="003249D8">
      <w:pPr>
        <w:spacing w:before="252" w:after="240"/>
        <w:ind w:right="72"/>
        <w:rPr>
          <w:bCs/>
          <w:spacing w:val="-2"/>
        </w:rPr>
      </w:pPr>
      <w:r w:rsidRPr="00593BA2">
        <w:rPr>
          <w:bCs/>
        </w:rPr>
        <w:t xml:space="preserve">The picture for risk-taking behaviour is more complex. In many countries and regions, family </w:t>
      </w:r>
      <w:r w:rsidRPr="00593BA2">
        <w:rPr>
          <w:bCs/>
          <w:spacing w:val="-4"/>
        </w:rPr>
        <w:t xml:space="preserve">affluence has less influence on patterns of smoking and drinking; other social factors – such as the </w:t>
      </w:r>
      <w:r w:rsidRPr="00593BA2">
        <w:rPr>
          <w:bCs/>
          <w:spacing w:val="-2"/>
        </w:rPr>
        <w:t xml:space="preserve">influence of peers – may be more important. Further, injuries increase with higher family affluence </w:t>
      </w:r>
      <w:r w:rsidRPr="00593BA2">
        <w:rPr>
          <w:b/>
          <w:bCs/>
          <w:spacing w:val="-2"/>
        </w:rPr>
        <w:t>(this holds for Ireland).</w:t>
      </w:r>
      <w:r w:rsidRPr="00593BA2">
        <w:rPr>
          <w:bCs/>
          <w:spacing w:val="-2"/>
        </w:rPr>
        <w:t xml:space="preserve"> </w:t>
      </w:r>
    </w:p>
    <w:p w14:paraId="58B91405" w14:textId="77777777" w:rsidR="003249D8" w:rsidRPr="00593BA2" w:rsidRDefault="003249D8" w:rsidP="003249D8">
      <w:pPr>
        <w:spacing w:after="240" w:line="204" w:lineRule="auto"/>
        <w:rPr>
          <w:bCs/>
          <w:spacing w:val="2"/>
        </w:rPr>
      </w:pPr>
    </w:p>
    <w:p w14:paraId="4F41E96B" w14:textId="77777777" w:rsidR="003249D8" w:rsidRPr="00593BA2" w:rsidRDefault="003249D8" w:rsidP="003249D8">
      <w:pPr>
        <w:spacing w:after="240" w:line="204" w:lineRule="auto"/>
        <w:rPr>
          <w:b/>
          <w:bCs/>
          <w:i/>
          <w:spacing w:val="2"/>
        </w:rPr>
      </w:pPr>
      <w:r w:rsidRPr="00593BA2">
        <w:rPr>
          <w:b/>
          <w:bCs/>
          <w:i/>
          <w:spacing w:val="2"/>
        </w:rPr>
        <w:t>Protective factors</w:t>
      </w:r>
    </w:p>
    <w:p w14:paraId="2EA49366" w14:textId="77777777" w:rsidR="003249D8" w:rsidRPr="00593BA2" w:rsidRDefault="003249D8" w:rsidP="003249D8">
      <w:pPr>
        <w:spacing w:after="240"/>
        <w:rPr>
          <w:bCs/>
          <w:spacing w:val="-2"/>
        </w:rPr>
      </w:pPr>
      <w:r w:rsidRPr="00593BA2">
        <w:rPr>
          <w:bCs/>
        </w:rPr>
        <w:t xml:space="preserve">Support from family and classmates protects young people from negative influences; those who </w:t>
      </w:r>
      <w:r w:rsidRPr="00593BA2">
        <w:rPr>
          <w:bCs/>
          <w:spacing w:val="-2"/>
        </w:rPr>
        <w:t>report easy communication with their parents are more likely to report positive health outcomes. Having close friends and peer support is also a strong predictor of positive health. The more sources of support, the more likely young people are to report good health.</w:t>
      </w:r>
    </w:p>
    <w:p w14:paraId="7AB78E9C" w14:textId="77777777" w:rsidR="00A92941" w:rsidRPr="00593BA2" w:rsidRDefault="003249D8" w:rsidP="00A92941">
      <w:pPr>
        <w:spacing w:before="324" w:after="240"/>
        <w:ind w:right="144"/>
        <w:rPr>
          <w:bCs/>
        </w:rPr>
      </w:pPr>
      <w:r w:rsidRPr="00593BA2">
        <w:rPr>
          <w:bCs/>
          <w:spacing w:val="-3"/>
        </w:rPr>
        <w:lastRenderedPageBreak/>
        <w:t xml:space="preserve">The HBSC report shows that addressing the social determinants of health inequalities in childhood </w:t>
      </w:r>
      <w:r w:rsidRPr="00593BA2">
        <w:rPr>
          <w:bCs/>
          <w:spacing w:val="-1"/>
        </w:rPr>
        <w:t xml:space="preserve">and adolescence can enable young people to maximize their health and well-being, ensuring that </w:t>
      </w:r>
      <w:r w:rsidRPr="00593BA2">
        <w:rPr>
          <w:bCs/>
          <w:spacing w:val="-3"/>
        </w:rPr>
        <w:t xml:space="preserve">these inequalities do not extend into adulthood, with all the potential negative consequences for </w:t>
      </w:r>
      <w:r w:rsidRPr="00593BA2">
        <w:rPr>
          <w:bCs/>
        </w:rPr>
        <w:t>individuals and society.</w:t>
      </w:r>
    </w:p>
    <w:p w14:paraId="6EE6FFB7" w14:textId="77777777" w:rsidR="00A92941" w:rsidRPr="00593BA2" w:rsidRDefault="00A92941" w:rsidP="00A92941">
      <w:pPr>
        <w:spacing w:before="324" w:after="240"/>
        <w:ind w:right="144"/>
        <w:rPr>
          <w:bCs/>
        </w:rPr>
      </w:pPr>
      <w:r w:rsidRPr="00593BA2">
        <w:rPr>
          <w:bCs/>
        </w:rPr>
        <w:t>ENDS</w:t>
      </w:r>
    </w:p>
    <w:p w14:paraId="2EECF1DD" w14:textId="77777777" w:rsidR="00A92941" w:rsidRPr="00593BA2" w:rsidRDefault="00A92941" w:rsidP="00A92941">
      <w:pPr>
        <w:spacing w:before="324" w:after="240"/>
        <w:ind w:right="144"/>
        <w:rPr>
          <w:b/>
          <w:bCs/>
        </w:rPr>
      </w:pPr>
      <w:r w:rsidRPr="00593BA2">
        <w:rPr>
          <w:b/>
          <w:bCs/>
        </w:rPr>
        <w:t>Notes to Editor:</w:t>
      </w:r>
    </w:p>
    <w:p w14:paraId="530771CB" w14:textId="77777777" w:rsidR="003249D8" w:rsidRPr="00593BA2" w:rsidRDefault="003249D8" w:rsidP="00A92941">
      <w:pPr>
        <w:spacing w:before="324" w:after="240"/>
        <w:ind w:right="144"/>
        <w:rPr>
          <w:bCs/>
        </w:rPr>
      </w:pPr>
      <w:r w:rsidRPr="00593BA2">
        <w:rPr>
          <w:bCs/>
          <w:spacing w:val="-5"/>
        </w:rPr>
        <w:t xml:space="preserve">The report is the sixth in the Health Policy for Children and Adolescents (HEPCA) series. It will be </w:t>
      </w:r>
      <w:r w:rsidRPr="00593BA2">
        <w:rPr>
          <w:bCs/>
          <w:spacing w:val="-3"/>
        </w:rPr>
        <w:t xml:space="preserve">officially launched at an event in Edinburgh, Scotland, United Kingdom on Wednesday, 2 May. </w:t>
      </w:r>
    </w:p>
    <w:p w14:paraId="5FA54FA9" w14:textId="77777777" w:rsidR="003249D8" w:rsidRPr="00593BA2" w:rsidRDefault="003249D8" w:rsidP="003249D8">
      <w:pPr>
        <w:spacing w:before="216" w:line="234" w:lineRule="exact"/>
        <w:rPr>
          <w:b/>
          <w:bCs/>
          <w:spacing w:val="4"/>
        </w:rPr>
      </w:pPr>
      <w:r w:rsidRPr="00593BA2">
        <w:rPr>
          <w:b/>
          <w:bCs/>
          <w:spacing w:val="4"/>
        </w:rPr>
        <w:t>Further information</w:t>
      </w:r>
    </w:p>
    <w:p w14:paraId="63EDFB35" w14:textId="77777777" w:rsidR="003249D8" w:rsidRPr="00593BA2" w:rsidRDefault="003249D8" w:rsidP="003249D8">
      <w:pPr>
        <w:spacing w:before="72" w:line="280" w:lineRule="exact"/>
        <w:ind w:left="720" w:hanging="360"/>
        <w:rPr>
          <w:bCs/>
        </w:rPr>
      </w:pPr>
      <w:r w:rsidRPr="00593BA2">
        <w:rPr>
          <w:bCs/>
          <w:spacing w:val="1"/>
        </w:rPr>
        <w:t xml:space="preserve">Key findings and five fact sheets are available on the WHO Regional Office for Europe web </w:t>
      </w:r>
      <w:r w:rsidRPr="00593BA2">
        <w:rPr>
          <w:bCs/>
        </w:rPr>
        <w:t>site</w:t>
      </w:r>
      <w:r w:rsidRPr="00593BA2">
        <w:rPr>
          <w:bCs/>
          <w:color w:val="0000FF"/>
          <w:u w:val="single"/>
        </w:rPr>
        <w:t xml:space="preserve"> </w:t>
      </w:r>
      <w:hyperlink r:id="rId7" w:history="1">
        <w:r w:rsidRPr="00593BA2">
          <w:rPr>
            <w:bCs/>
            <w:color w:val="0000FF"/>
            <w:u w:val="single"/>
          </w:rPr>
          <w:t>http://www.euro.who.int/HBSC</w:t>
        </w:r>
      </w:hyperlink>
      <w:r w:rsidRPr="00593BA2">
        <w:rPr>
          <w:bCs/>
        </w:rPr>
        <w:t xml:space="preserve"> from 2 May 2012.</w:t>
      </w:r>
    </w:p>
    <w:p w14:paraId="3BCB00E9" w14:textId="77777777" w:rsidR="003249D8" w:rsidRPr="00593BA2" w:rsidRDefault="003249D8" w:rsidP="003249D8">
      <w:pPr>
        <w:spacing w:before="216" w:line="276" w:lineRule="exact"/>
        <w:ind w:left="720" w:right="432" w:hanging="360"/>
        <w:rPr>
          <w:bCs/>
        </w:rPr>
      </w:pPr>
      <w:r w:rsidRPr="00593BA2">
        <w:rPr>
          <w:bCs/>
        </w:rPr>
        <w:t>The HBSC International Coordinating Centre</w:t>
      </w:r>
      <w:r w:rsidRPr="00593BA2">
        <w:rPr>
          <w:bCs/>
          <w:color w:val="0000FF"/>
          <w:u w:val="single"/>
        </w:rPr>
        <w:t xml:space="preserve"> (</w:t>
      </w:r>
      <w:hyperlink r:id="rId8" w:history="1">
        <w:r w:rsidRPr="00593BA2">
          <w:rPr>
            <w:bCs/>
            <w:color w:val="0000FF"/>
            <w:u w:val="single"/>
          </w:rPr>
          <w:t>http://www.hbsc.org</w:t>
        </w:r>
      </w:hyperlink>
      <w:r w:rsidRPr="00593BA2">
        <w:rPr>
          <w:bCs/>
          <w:color w:val="0000FF"/>
          <w:u w:val="single"/>
        </w:rPr>
        <w:t>)</w:t>
      </w:r>
      <w:r w:rsidRPr="00593BA2">
        <w:rPr>
          <w:bCs/>
        </w:rPr>
        <w:t xml:space="preserve"> is based at the </w:t>
      </w:r>
      <w:r w:rsidRPr="00593BA2">
        <w:rPr>
          <w:bCs/>
          <w:spacing w:val="-4"/>
        </w:rPr>
        <w:t>University of St Andrews, in the Child and Adolescent Health Research Unit (CAHRU)</w:t>
      </w:r>
      <w:r w:rsidR="00593BA2">
        <w:rPr>
          <w:bCs/>
          <w:spacing w:val="-4"/>
        </w:rPr>
        <w:t>.</w:t>
      </w:r>
    </w:p>
    <w:p w14:paraId="75EED09E" w14:textId="77777777" w:rsidR="003249D8" w:rsidRPr="00593BA2" w:rsidRDefault="003249D8" w:rsidP="003249D8">
      <w:pPr>
        <w:spacing w:before="216" w:line="276" w:lineRule="exact"/>
        <w:ind w:left="720" w:right="432" w:hanging="360"/>
        <w:rPr>
          <w:bCs/>
        </w:rPr>
      </w:pPr>
      <w:r w:rsidRPr="00593BA2">
        <w:rPr>
          <w:bCs/>
        </w:rPr>
        <w:t>The HBSC Ireland study is based at the National University of Ireland, Galway, in the Health Promotion Research Centre, (www.nuigalway.ie/hbsc)</w:t>
      </w:r>
    </w:p>
    <w:p w14:paraId="65C645C4" w14:textId="77777777" w:rsidR="003249D8" w:rsidRPr="00593BA2" w:rsidRDefault="003249D8" w:rsidP="003249D8">
      <w:pPr>
        <w:spacing w:before="180" w:line="272" w:lineRule="exact"/>
        <w:rPr>
          <w:bCs/>
          <w:spacing w:val="4"/>
        </w:rPr>
      </w:pPr>
    </w:p>
    <w:p w14:paraId="026F6086" w14:textId="77777777" w:rsidR="003249D8" w:rsidRPr="00593BA2" w:rsidRDefault="003249D8" w:rsidP="003249D8">
      <w:pPr>
        <w:spacing w:before="180" w:line="272" w:lineRule="exact"/>
        <w:rPr>
          <w:b/>
          <w:bCs/>
          <w:spacing w:val="4"/>
        </w:rPr>
      </w:pPr>
      <w:r w:rsidRPr="00593BA2">
        <w:rPr>
          <w:b/>
          <w:bCs/>
          <w:spacing w:val="4"/>
        </w:rPr>
        <w:t>For further information, contact</w:t>
      </w:r>
      <w:r w:rsidR="00543498">
        <w:rPr>
          <w:b/>
          <w:bCs/>
          <w:spacing w:val="4"/>
        </w:rPr>
        <w:t xml:space="preserve"> HBSC Ireland</w:t>
      </w:r>
      <w:r w:rsidRPr="00593BA2">
        <w:rPr>
          <w:b/>
          <w:bCs/>
          <w:spacing w:val="4"/>
        </w:rPr>
        <w:t>:</w:t>
      </w:r>
    </w:p>
    <w:p w14:paraId="05D6B2E0" w14:textId="77777777" w:rsidR="003249D8" w:rsidRPr="00593BA2" w:rsidRDefault="003249D8" w:rsidP="00543498">
      <w:pPr>
        <w:spacing w:before="72" w:line="242" w:lineRule="exact"/>
        <w:rPr>
          <w:bCs/>
        </w:rPr>
      </w:pPr>
      <w:r w:rsidRPr="00593BA2">
        <w:rPr>
          <w:bCs/>
        </w:rPr>
        <w:t xml:space="preserve">Dr Saoirse nic Gabhainn, </w:t>
      </w:r>
      <w:hyperlink r:id="rId9" w:history="1">
        <w:r w:rsidRPr="00593BA2">
          <w:rPr>
            <w:rStyle w:val="Hyperlink"/>
            <w:bCs/>
          </w:rPr>
          <w:t>saoirse.nicgabhainn@nuigalway.ie</w:t>
        </w:r>
      </w:hyperlink>
      <w:r w:rsidR="00543498">
        <w:t xml:space="preserve"> 091-493093</w:t>
      </w:r>
    </w:p>
    <w:p w14:paraId="1898E5B7" w14:textId="77777777" w:rsidR="003249D8" w:rsidRPr="00593BA2" w:rsidRDefault="003249D8" w:rsidP="00543498">
      <w:pPr>
        <w:spacing w:before="72" w:line="242" w:lineRule="exact"/>
        <w:rPr>
          <w:bCs/>
        </w:rPr>
      </w:pPr>
      <w:r w:rsidRPr="00593BA2">
        <w:rPr>
          <w:bCs/>
        </w:rPr>
        <w:t>Dr Michal Molcho</w:t>
      </w:r>
      <w:proofErr w:type="gramStart"/>
      <w:r w:rsidRPr="00593BA2">
        <w:rPr>
          <w:bCs/>
        </w:rPr>
        <w:t xml:space="preserve">,  </w:t>
      </w:r>
      <w:proofErr w:type="gramEnd"/>
      <w:hyperlink r:id="rId10" w:history="1">
        <w:r w:rsidRPr="00593BA2">
          <w:rPr>
            <w:rStyle w:val="Hyperlink"/>
            <w:bCs/>
          </w:rPr>
          <w:t>michal.molcho@nuigalway.ie</w:t>
        </w:r>
      </w:hyperlink>
      <w:r w:rsidR="00543498">
        <w:t xml:space="preserve"> 091-493668</w:t>
      </w:r>
    </w:p>
    <w:p w14:paraId="3CB159A4" w14:textId="77777777" w:rsidR="003249D8" w:rsidRDefault="003249D8" w:rsidP="00543498">
      <w:pPr>
        <w:spacing w:before="72" w:line="242" w:lineRule="exact"/>
        <w:rPr>
          <w:bCs/>
        </w:rPr>
      </w:pPr>
      <w:r w:rsidRPr="00593BA2">
        <w:rPr>
          <w:bCs/>
        </w:rPr>
        <w:t xml:space="preserve">Dr Colette Kelly, </w:t>
      </w:r>
      <w:hyperlink r:id="rId11" w:history="1">
        <w:r w:rsidR="00543498" w:rsidRPr="00C43D56">
          <w:rPr>
            <w:rStyle w:val="Hyperlink"/>
            <w:bCs/>
          </w:rPr>
          <w:t>colette.kelly@nuigalway.ie</w:t>
        </w:r>
      </w:hyperlink>
      <w:r w:rsidR="00543498">
        <w:rPr>
          <w:bCs/>
        </w:rPr>
        <w:t xml:space="preserve"> 091-493186</w:t>
      </w:r>
    </w:p>
    <w:p w14:paraId="7AC8ADB2" w14:textId="77777777" w:rsidR="003249D8" w:rsidRPr="00593BA2" w:rsidRDefault="003249D8" w:rsidP="003249D8">
      <w:pPr>
        <w:spacing w:after="240"/>
        <w:jc w:val="both"/>
        <w:rPr>
          <w:bCs/>
          <w:spacing w:val="-1"/>
        </w:rPr>
      </w:pPr>
    </w:p>
    <w:p w14:paraId="7FBC8856" w14:textId="77777777" w:rsidR="003249D8" w:rsidRPr="00593BA2" w:rsidRDefault="003249D8" w:rsidP="003249D8">
      <w:pPr>
        <w:spacing w:before="324" w:line="213" w:lineRule="auto"/>
        <w:rPr>
          <w:bCs/>
        </w:rPr>
      </w:pPr>
      <w:r w:rsidRPr="00593BA2">
        <w:rPr>
          <w:bCs/>
        </w:rPr>
        <w:t>Tina Kiær</w:t>
      </w:r>
    </w:p>
    <w:p w14:paraId="7EC7430D" w14:textId="77777777" w:rsidR="003249D8" w:rsidRPr="00593BA2" w:rsidRDefault="003249D8" w:rsidP="003249D8">
      <w:pPr>
        <w:spacing w:before="72"/>
        <w:ind w:right="1512"/>
        <w:rPr>
          <w:bCs/>
        </w:rPr>
      </w:pPr>
      <w:r w:rsidRPr="00593BA2">
        <w:rPr>
          <w:bCs/>
          <w:spacing w:val="-3"/>
        </w:rPr>
        <w:t xml:space="preserve">Information Officer, Division of Noncommunicable Diseases and Health Promotion </w:t>
      </w:r>
      <w:r w:rsidRPr="00593BA2">
        <w:rPr>
          <w:bCs/>
        </w:rPr>
        <w:t>WHO Regional Office for Europe</w:t>
      </w:r>
    </w:p>
    <w:p w14:paraId="3D6434A5" w14:textId="77777777" w:rsidR="003249D8" w:rsidRPr="00593BA2" w:rsidRDefault="003249D8" w:rsidP="003249D8">
      <w:pPr>
        <w:rPr>
          <w:bCs/>
        </w:rPr>
      </w:pPr>
      <w:r w:rsidRPr="00593BA2">
        <w:rPr>
          <w:bCs/>
        </w:rPr>
        <w:t>Scherfigsvej 8, DK-2100 Copenhagen Ø, Denmark</w:t>
      </w:r>
    </w:p>
    <w:p w14:paraId="48447F93" w14:textId="77777777" w:rsidR="003249D8" w:rsidRPr="00593BA2" w:rsidRDefault="003249D8" w:rsidP="003249D8">
      <w:pPr>
        <w:rPr>
          <w:bCs/>
          <w:spacing w:val="2"/>
        </w:rPr>
      </w:pPr>
      <w:r w:rsidRPr="00593BA2">
        <w:rPr>
          <w:bCs/>
          <w:spacing w:val="2"/>
        </w:rPr>
        <w:t>Tel.: +45 39 17 12 50, +45 40 87 48 76 (mobile)</w:t>
      </w:r>
    </w:p>
    <w:p w14:paraId="06DEF7E2" w14:textId="77777777" w:rsidR="003249D8" w:rsidRPr="00593BA2" w:rsidRDefault="002A5089" w:rsidP="003249D8">
      <w:pPr>
        <w:spacing w:line="208" w:lineRule="auto"/>
        <w:rPr>
          <w:bCs/>
          <w:color w:val="0000FF"/>
        </w:rPr>
      </w:pPr>
      <w:hyperlink r:id="rId12" w:history="1">
        <w:r w:rsidR="003249D8" w:rsidRPr="00593BA2">
          <w:rPr>
            <w:bCs/>
            <w:color w:val="0000FF"/>
            <w:u w:val="single"/>
          </w:rPr>
          <w:t>E-mail: tki@euro.who.int</w:t>
        </w:r>
      </w:hyperlink>
    </w:p>
    <w:p w14:paraId="32D84589" w14:textId="77777777" w:rsidR="00684735" w:rsidRPr="00593BA2" w:rsidRDefault="002A5089" w:rsidP="003249D8">
      <w:pPr>
        <w:spacing w:after="240"/>
      </w:pPr>
    </w:p>
    <w:sectPr w:rsidR="00684735" w:rsidRPr="00593BA2" w:rsidSect="00B54DA0">
      <w:pgSz w:w="11900" w:h="16840"/>
      <w:pgMar w:top="1440" w:right="1410" w:bottom="1440" w:left="15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9D8"/>
    <w:rsid w:val="00066F68"/>
    <w:rsid w:val="000D330D"/>
    <w:rsid w:val="002A5089"/>
    <w:rsid w:val="003249D8"/>
    <w:rsid w:val="00543498"/>
    <w:rsid w:val="00593BA2"/>
    <w:rsid w:val="0084345C"/>
    <w:rsid w:val="008444F9"/>
    <w:rsid w:val="00A92941"/>
    <w:rsid w:val="00B16F39"/>
    <w:rsid w:val="00B54DA0"/>
    <w:rsid w:val="00C57F54"/>
    <w:rsid w:val="00CE5409"/>
    <w:rsid w:val="00FC7614"/>
  </w:rsids>
  <m:mathPr>
    <m:mathFont m:val="Cambria Math"/>
    <m:brkBin m:val="before"/>
    <m:brkBinSub m:val="--"/>
    <m:smallFrac m:val="0"/>
    <m:dispDef m:val="0"/>
    <m:lMargin m:val="0"/>
    <m:rMargin m:val="0"/>
    <m:defJc m:val="centerGroup"/>
    <m:wrapRight/>
    <m:intLim m:val="subSup"/>
    <m:naryLim m:val="subSup"/>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830E76F"/>
  <w15:docId w15:val="{AA7F4936-2D39-4BD4-B307-709528683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9D8"/>
    <w:pPr>
      <w:widowControl w:val="0"/>
      <w:kinsoku w:val="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84735"/>
    <w:pPr>
      <w:widowControl/>
      <w:kinsoku/>
    </w:pPr>
    <w:rPr>
      <w:rFonts w:ascii="Lucida Grande" w:eastAsiaTheme="minorHAnsi" w:hAnsi="Lucida Grande" w:cstheme="minorBidi"/>
      <w:sz w:val="18"/>
      <w:szCs w:val="18"/>
    </w:rPr>
  </w:style>
  <w:style w:type="character" w:styleId="Hyperlink">
    <w:name w:val="Hyperlink"/>
    <w:basedOn w:val="DefaultParagraphFont"/>
    <w:uiPriority w:val="99"/>
    <w:unhideWhenUsed/>
    <w:rsid w:val="003249D8"/>
    <w:rPr>
      <w:color w:val="0000FF" w:themeColor="hyperlink"/>
      <w:u w:val="single"/>
    </w:rPr>
  </w:style>
  <w:style w:type="character" w:styleId="CommentReference">
    <w:name w:val="annotation reference"/>
    <w:basedOn w:val="DefaultParagraphFont"/>
    <w:uiPriority w:val="99"/>
    <w:semiHidden/>
    <w:unhideWhenUsed/>
    <w:rsid w:val="00A92941"/>
    <w:rPr>
      <w:sz w:val="16"/>
      <w:szCs w:val="16"/>
    </w:rPr>
  </w:style>
  <w:style w:type="paragraph" w:styleId="CommentText">
    <w:name w:val="annotation text"/>
    <w:basedOn w:val="Normal"/>
    <w:link w:val="CommentTextChar"/>
    <w:uiPriority w:val="99"/>
    <w:semiHidden/>
    <w:unhideWhenUsed/>
    <w:rsid w:val="00A92941"/>
    <w:rPr>
      <w:sz w:val="20"/>
      <w:szCs w:val="20"/>
    </w:rPr>
  </w:style>
  <w:style w:type="character" w:customStyle="1" w:styleId="CommentTextChar">
    <w:name w:val="Comment Text Char"/>
    <w:basedOn w:val="DefaultParagraphFont"/>
    <w:link w:val="CommentText"/>
    <w:uiPriority w:val="99"/>
    <w:semiHidden/>
    <w:rsid w:val="00A92941"/>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A92941"/>
    <w:rPr>
      <w:b/>
      <w:bCs/>
    </w:rPr>
  </w:style>
  <w:style w:type="character" w:customStyle="1" w:styleId="CommentSubjectChar">
    <w:name w:val="Comment Subject Char"/>
    <w:basedOn w:val="CommentTextChar"/>
    <w:link w:val="CommentSubject"/>
    <w:uiPriority w:val="99"/>
    <w:semiHidden/>
    <w:rsid w:val="00A92941"/>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bsc.org"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euro.who.int/HBSC" TargetMode="External"/><Relationship Id="rId12" Type="http://schemas.openxmlformats.org/officeDocument/2006/relationships/hyperlink" Target="mailto:tki@euro.who.i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lette.kelly@nuigalway.ie" TargetMode="External"/><Relationship Id="rId5" Type="http://schemas.openxmlformats.org/officeDocument/2006/relationships/settings" Target="settings.xml"/><Relationship Id="rId10" Type="http://schemas.openxmlformats.org/officeDocument/2006/relationships/hyperlink" Target="mailto:Michal.molcho@nuigalway.ie" TargetMode="External"/><Relationship Id="rId4" Type="http://schemas.openxmlformats.org/officeDocument/2006/relationships/styles" Target="styles.xml"/><Relationship Id="rId9" Type="http://schemas.openxmlformats.org/officeDocument/2006/relationships/hyperlink" Target="mailto:saoirse.nicgabhainn@nuigalway.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4334E90161F04FBC841F5562821D8D" ma:contentTypeVersion="14" ma:contentTypeDescription="Create a new document." ma:contentTypeScope="" ma:versionID="0e7db3f81b493e546d7d59002ccb27d4">
  <xsd:schema xmlns:xsd="http://www.w3.org/2001/XMLSchema" xmlns:xs="http://www.w3.org/2001/XMLSchema" xmlns:p="http://schemas.microsoft.com/office/2006/metadata/properties" xmlns:ns3="4fc988d4-577e-42e9-9b2a-2c85a526e18d" xmlns:ns4="405233e3-2b02-4cc3-b510-aa513db20907" targetNamespace="http://schemas.microsoft.com/office/2006/metadata/properties" ma:root="true" ma:fieldsID="55e5006a469ceb2b0c4aa19367b41d43" ns3:_="" ns4:_="">
    <xsd:import namespace="4fc988d4-577e-42e9-9b2a-2c85a526e18d"/>
    <xsd:import namespace="405233e3-2b02-4cc3-b510-aa513db209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988d4-577e-42e9-9b2a-2c85a526e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5233e3-2b02-4cc3-b510-aa513db2090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DB593E-BDCA-4108-A276-C29D858C6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988d4-577e-42e9-9b2a-2c85a526e18d"/>
    <ds:schemaRef ds:uri="405233e3-2b02-4cc3-b510-aa513db20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AD10B0-5AF9-446D-A6A4-136006DAA7A5}">
  <ds:schemaRefs>
    <ds:schemaRef ds:uri="http://schemas.microsoft.com/sharepoint/v3/contenttype/forms"/>
  </ds:schemaRefs>
</ds:datastoreItem>
</file>

<file path=customXml/itemProps3.xml><?xml version="1.0" encoding="utf-8"?>
<ds:datastoreItem xmlns:ds="http://schemas.openxmlformats.org/officeDocument/2006/customXml" ds:itemID="{5D7797E1-42C2-4160-B1F4-ABE8C8AF767A}">
  <ds:schemaRefs>
    <ds:schemaRef ds:uri="http://purl.org/dc/elements/1.1/"/>
    <ds:schemaRef ds:uri="http://schemas.microsoft.com/office/2006/metadata/properties"/>
    <ds:schemaRef ds:uri="405233e3-2b02-4cc3-b510-aa513db2090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fc988d4-577e-42e9-9b2a-2c85a526e18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1149</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NUIG</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Walker, Lorraine</cp:lastModifiedBy>
  <cp:revision>2</cp:revision>
  <dcterms:created xsi:type="dcterms:W3CDTF">2022-04-06T12:48:00Z</dcterms:created>
  <dcterms:modified xsi:type="dcterms:W3CDTF">2022-04-06T12:48:00Z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0x010100124334E90161F04FBC841F5562821D8D</vt:lpwstr>
  </property>
</Properties>
</file>