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2303" w14:textId="64BBCA8A" w:rsidR="00837CE0" w:rsidRPr="0099030A" w:rsidRDefault="00837CE0" w:rsidP="0099030A">
      <w:pPr>
        <w:spacing w:line="276" w:lineRule="auto"/>
        <w:jc w:val="center"/>
        <w:rPr>
          <w:rFonts w:ascii="Calibri" w:hAnsi="Calibri" w:cs="Calibri"/>
          <w:sz w:val="24"/>
          <w:szCs w:val="24"/>
        </w:rPr>
      </w:pPr>
      <w:r w:rsidRPr="0099030A">
        <w:rPr>
          <w:rFonts w:ascii="Calibri" w:hAnsi="Calibri" w:cs="Calibri"/>
          <w:noProof/>
          <w:sz w:val="24"/>
          <w:szCs w:val="24"/>
        </w:rPr>
        <w:drawing>
          <wp:inline distT="0" distB="0" distL="0" distR="0" wp14:anchorId="54CEF6A3" wp14:editId="6EFFEE68">
            <wp:extent cx="3638550" cy="1371600"/>
            <wp:effectExtent l="0" t="0" r="0" b="0"/>
            <wp:docPr id="1308845489" name="Picture 12" descr="A black background with a black square&#10;&#10;Description automatically generated with medium confidence">
              <a:extLst xmlns:a="http://schemas.openxmlformats.org/drawingml/2006/main">
                <a:ext uri="{FF2B5EF4-FFF2-40B4-BE49-F238E27FC236}">
                  <a16:creationId xmlns:a16="http://schemas.microsoft.com/office/drawing/2014/main" id="{F9EFDEDB-ABD8-4020-BA29-A69B522F30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1371600"/>
                    </a:xfrm>
                    <a:prstGeom prst="rect">
                      <a:avLst/>
                    </a:prstGeom>
                    <a:noFill/>
                    <a:ln>
                      <a:noFill/>
                    </a:ln>
                  </pic:spPr>
                </pic:pic>
              </a:graphicData>
            </a:graphic>
          </wp:inline>
        </w:drawing>
      </w:r>
    </w:p>
    <w:p w14:paraId="2CA7EDAD" w14:textId="66FED466" w:rsidR="00837CE0" w:rsidRPr="003B01D2" w:rsidRDefault="00837CE0" w:rsidP="0099030A">
      <w:pPr>
        <w:spacing w:line="276" w:lineRule="auto"/>
        <w:rPr>
          <w:rFonts w:ascii="Calibri" w:hAnsi="Calibri" w:cs="Calibri"/>
          <w:b/>
          <w:bCs/>
          <w:sz w:val="24"/>
          <w:szCs w:val="24"/>
        </w:rPr>
      </w:pPr>
      <w:r w:rsidRPr="003B01D2">
        <w:rPr>
          <w:rFonts w:ascii="Calibri" w:hAnsi="Calibri" w:cs="Calibri"/>
          <w:b/>
          <w:bCs/>
          <w:sz w:val="24"/>
          <w:szCs w:val="24"/>
        </w:rPr>
        <w:t> </w:t>
      </w:r>
      <w:r w:rsidR="0033697D" w:rsidRPr="003B01D2">
        <w:rPr>
          <w:rFonts w:ascii="Calibri" w:hAnsi="Calibri" w:cs="Calibri"/>
          <w:b/>
          <w:bCs/>
          <w:sz w:val="24"/>
          <w:szCs w:val="24"/>
          <w:highlight w:val="yellow"/>
        </w:rPr>
        <w:t xml:space="preserve">**Please review </w:t>
      </w:r>
      <w:r w:rsidR="003B01D2" w:rsidRPr="003B01D2">
        <w:rPr>
          <w:rFonts w:ascii="Calibri" w:hAnsi="Calibri" w:cs="Calibri"/>
          <w:b/>
          <w:bCs/>
          <w:sz w:val="24"/>
          <w:szCs w:val="24"/>
          <w:highlight w:val="yellow"/>
        </w:rPr>
        <w:t>highlighted sections and update accordingly</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165"/>
      </w:tblGrid>
      <w:tr w:rsidR="00E249E3" w:rsidRPr="0099030A" w14:paraId="0A283308"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4155D98B" w14:textId="3406EA01"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Post Title: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15877F38" w14:textId="0F9DC273" w:rsidR="00837CE0" w:rsidRPr="0099030A" w:rsidRDefault="0B37ADE8" w:rsidP="0099030A">
            <w:pPr>
              <w:spacing w:line="276" w:lineRule="auto"/>
              <w:rPr>
                <w:rFonts w:ascii="Calibri" w:hAnsi="Calibri" w:cs="Calibri"/>
                <w:sz w:val="24"/>
                <w:szCs w:val="24"/>
              </w:rPr>
            </w:pPr>
            <w:r w:rsidRPr="0099030A">
              <w:rPr>
                <w:rFonts w:ascii="Calibri" w:hAnsi="Calibri" w:cs="Calibri"/>
                <w:sz w:val="24"/>
                <w:szCs w:val="24"/>
              </w:rPr>
              <w:t>Professional Support Roles (</w:t>
            </w:r>
            <w:r w:rsidR="00837CE0" w:rsidRPr="0099030A">
              <w:rPr>
                <w:rFonts w:ascii="Calibri" w:hAnsi="Calibri" w:cs="Calibri"/>
                <w:sz w:val="24"/>
                <w:szCs w:val="24"/>
              </w:rPr>
              <w:t>Administrative Assistant</w:t>
            </w:r>
            <w:r w:rsidR="4E4CFDC4" w:rsidRPr="0099030A">
              <w:rPr>
                <w:rFonts w:ascii="Calibri" w:hAnsi="Calibri" w:cs="Calibri"/>
                <w:sz w:val="24"/>
                <w:szCs w:val="24"/>
              </w:rPr>
              <w:t xml:space="preserve"> Grade 3) </w:t>
            </w:r>
            <w:r w:rsidR="00837CE0" w:rsidRPr="0099030A">
              <w:rPr>
                <w:rFonts w:ascii="Calibri" w:hAnsi="Calibri" w:cs="Calibri"/>
                <w:sz w:val="24"/>
                <w:szCs w:val="24"/>
              </w:rPr>
              <w:t> </w:t>
            </w:r>
          </w:p>
        </w:tc>
      </w:tr>
      <w:tr w:rsidR="00E249E3" w:rsidRPr="0099030A" w14:paraId="72FFDC9C"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433A6969"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Unit:</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32EAC121"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sz w:val="24"/>
                <w:szCs w:val="24"/>
              </w:rPr>
              <w:t>Various </w:t>
            </w:r>
          </w:p>
        </w:tc>
      </w:tr>
      <w:tr w:rsidR="00E249E3" w:rsidRPr="0099030A" w14:paraId="403A3690"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CBF53C4"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Post Duration:</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tcPr>
          <w:p w14:paraId="32FD733A" w14:textId="0F090253" w:rsidR="00837CE0" w:rsidRPr="0099030A" w:rsidRDefault="00337799" w:rsidP="0099030A">
            <w:pPr>
              <w:spacing w:line="276" w:lineRule="auto"/>
              <w:rPr>
                <w:rFonts w:ascii="Calibri" w:hAnsi="Calibri" w:cs="Calibri"/>
                <w:sz w:val="24"/>
                <w:szCs w:val="24"/>
              </w:rPr>
            </w:pPr>
            <w:r w:rsidRPr="00337799">
              <w:rPr>
                <w:rFonts w:ascii="Calibri" w:hAnsi="Calibri" w:cs="Calibri"/>
                <w:sz w:val="24"/>
                <w:szCs w:val="24"/>
                <w:highlight w:val="yellow"/>
              </w:rPr>
              <w:t>Fixed Term/Specific Purpose Contract/Permanent</w:t>
            </w:r>
          </w:p>
        </w:tc>
      </w:tr>
      <w:tr w:rsidR="00E249E3" w:rsidRPr="0099030A" w14:paraId="628B8324"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144BF886"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FTE: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4189E7B9" w14:textId="3CCB7FBD" w:rsidR="00837CE0" w:rsidRPr="0099030A" w:rsidRDefault="00837CE0" w:rsidP="0099030A">
            <w:pPr>
              <w:spacing w:line="276" w:lineRule="auto"/>
              <w:rPr>
                <w:rFonts w:ascii="Calibri" w:hAnsi="Calibri" w:cs="Calibri"/>
                <w:sz w:val="24"/>
                <w:szCs w:val="24"/>
              </w:rPr>
            </w:pPr>
            <w:r w:rsidRPr="00337799">
              <w:rPr>
                <w:rFonts w:ascii="Calibri" w:hAnsi="Calibri" w:cs="Calibri"/>
                <w:sz w:val="24"/>
                <w:szCs w:val="24"/>
                <w:highlight w:val="yellow"/>
              </w:rPr>
              <w:t>Full time</w:t>
            </w:r>
            <w:r w:rsidR="00337799" w:rsidRPr="00337799">
              <w:rPr>
                <w:rFonts w:ascii="Calibri" w:hAnsi="Calibri" w:cs="Calibri"/>
                <w:sz w:val="24"/>
                <w:szCs w:val="24"/>
                <w:highlight w:val="yellow"/>
              </w:rPr>
              <w:t>/P</w:t>
            </w:r>
            <w:r w:rsidRPr="00337799">
              <w:rPr>
                <w:rFonts w:ascii="Calibri" w:hAnsi="Calibri" w:cs="Calibri"/>
                <w:sz w:val="24"/>
                <w:szCs w:val="24"/>
                <w:highlight w:val="yellow"/>
              </w:rPr>
              <w:t>art time posts </w:t>
            </w:r>
            <w:r w:rsidR="00337799" w:rsidRPr="00337799">
              <w:rPr>
                <w:rFonts w:ascii="Calibri" w:hAnsi="Calibri" w:cs="Calibri"/>
                <w:sz w:val="24"/>
                <w:szCs w:val="24"/>
                <w:highlight w:val="yellow"/>
              </w:rPr>
              <w:t>(include FTE)</w:t>
            </w:r>
          </w:p>
        </w:tc>
      </w:tr>
      <w:tr w:rsidR="00E249E3" w:rsidRPr="0099030A" w14:paraId="11895FA0"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1D32DB3D"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Grade:</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431180DC" w14:textId="497ADEA0" w:rsidR="00837CE0" w:rsidRPr="0099030A" w:rsidRDefault="727C101B" w:rsidP="0099030A">
            <w:pPr>
              <w:spacing w:line="276" w:lineRule="auto"/>
              <w:rPr>
                <w:rFonts w:ascii="Calibri" w:hAnsi="Calibri" w:cs="Calibri"/>
                <w:sz w:val="24"/>
                <w:szCs w:val="24"/>
              </w:rPr>
            </w:pPr>
            <w:r w:rsidRPr="0099030A">
              <w:rPr>
                <w:rFonts w:ascii="Calibri" w:hAnsi="Calibri" w:cs="Calibri"/>
                <w:sz w:val="24"/>
                <w:szCs w:val="24"/>
              </w:rPr>
              <w:t xml:space="preserve">Administrative Assistant </w:t>
            </w:r>
            <w:r w:rsidR="00837CE0" w:rsidRPr="0099030A">
              <w:rPr>
                <w:rFonts w:ascii="Calibri" w:hAnsi="Calibri" w:cs="Calibri"/>
                <w:sz w:val="24"/>
                <w:szCs w:val="24"/>
              </w:rPr>
              <w:t>Grade</w:t>
            </w:r>
            <w:r w:rsidR="57D7D945" w:rsidRPr="0099030A">
              <w:rPr>
                <w:rFonts w:ascii="Calibri" w:hAnsi="Calibri" w:cs="Calibri"/>
                <w:sz w:val="24"/>
                <w:szCs w:val="24"/>
              </w:rPr>
              <w:t xml:space="preserve"> </w:t>
            </w:r>
            <w:r w:rsidR="00837CE0" w:rsidRPr="0099030A">
              <w:rPr>
                <w:rFonts w:ascii="Calibri" w:hAnsi="Calibri" w:cs="Calibri"/>
                <w:sz w:val="24"/>
                <w:szCs w:val="24"/>
              </w:rPr>
              <w:t>3 </w:t>
            </w:r>
          </w:p>
        </w:tc>
      </w:tr>
      <w:tr w:rsidR="00E249E3" w:rsidRPr="0099030A" w14:paraId="5F9B21EB"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E263F96"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Reports to:</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7C623BC0" w14:textId="4C7A91F3" w:rsidR="00837CE0" w:rsidRPr="0099030A" w:rsidRDefault="00837CE0" w:rsidP="0099030A">
            <w:pPr>
              <w:spacing w:line="276" w:lineRule="auto"/>
              <w:rPr>
                <w:rFonts w:ascii="Calibri" w:hAnsi="Calibri" w:cs="Calibri"/>
                <w:sz w:val="24"/>
                <w:szCs w:val="24"/>
              </w:rPr>
            </w:pPr>
            <w:r w:rsidRPr="00337799">
              <w:rPr>
                <w:rFonts w:ascii="Calibri" w:hAnsi="Calibri" w:cs="Calibri"/>
                <w:sz w:val="24"/>
                <w:szCs w:val="24"/>
                <w:highlight w:val="yellow"/>
              </w:rPr>
              <w:t>To be confirmed</w:t>
            </w:r>
          </w:p>
        </w:tc>
      </w:tr>
      <w:tr w:rsidR="00E249E3" w:rsidRPr="0099030A" w14:paraId="333EBAC1" w14:textId="77777777" w:rsidTr="00337799">
        <w:trPr>
          <w:trHeight w:val="300"/>
        </w:trPr>
        <w:tc>
          <w:tcPr>
            <w:tcW w:w="1835" w:type="dxa"/>
            <w:tcBorders>
              <w:top w:val="single" w:sz="6" w:space="0" w:color="auto"/>
              <w:left w:val="single" w:sz="6" w:space="0" w:color="auto"/>
              <w:bottom w:val="single" w:sz="6" w:space="0" w:color="auto"/>
              <w:right w:val="single" w:sz="6" w:space="0" w:color="auto"/>
            </w:tcBorders>
            <w:hideMark/>
          </w:tcPr>
          <w:p w14:paraId="5D71273C" w14:textId="77777777" w:rsidR="00837CE0" w:rsidRPr="0099030A" w:rsidRDefault="00837CE0" w:rsidP="0099030A">
            <w:pPr>
              <w:spacing w:line="276" w:lineRule="auto"/>
              <w:rPr>
                <w:rFonts w:ascii="Calibri" w:hAnsi="Calibri" w:cs="Calibri"/>
                <w:sz w:val="24"/>
                <w:szCs w:val="24"/>
              </w:rPr>
            </w:pPr>
            <w:r w:rsidRPr="0099030A">
              <w:rPr>
                <w:rFonts w:ascii="Calibri" w:hAnsi="Calibri" w:cs="Calibri"/>
                <w:b/>
                <w:bCs/>
                <w:sz w:val="24"/>
                <w:szCs w:val="24"/>
              </w:rPr>
              <w:t>Comp Ref:</w:t>
            </w:r>
            <w:r w:rsidRPr="0099030A">
              <w:rPr>
                <w:rFonts w:ascii="Calibri" w:hAnsi="Calibri" w:cs="Calibri"/>
                <w:sz w:val="24"/>
                <w:szCs w:val="24"/>
              </w:rPr>
              <w:t> </w:t>
            </w:r>
          </w:p>
        </w:tc>
        <w:tc>
          <w:tcPr>
            <w:tcW w:w="7165" w:type="dxa"/>
            <w:tcBorders>
              <w:top w:val="single" w:sz="6" w:space="0" w:color="auto"/>
              <w:left w:val="single" w:sz="6" w:space="0" w:color="auto"/>
              <w:bottom w:val="single" w:sz="6" w:space="0" w:color="auto"/>
              <w:right w:val="single" w:sz="6" w:space="0" w:color="auto"/>
            </w:tcBorders>
            <w:hideMark/>
          </w:tcPr>
          <w:p w14:paraId="58FB1418" w14:textId="7D962BA0" w:rsidR="00837CE0" w:rsidRPr="0099030A" w:rsidRDefault="2F46316B" w:rsidP="0099030A">
            <w:pPr>
              <w:spacing w:line="276" w:lineRule="auto"/>
              <w:rPr>
                <w:rFonts w:ascii="Calibri" w:hAnsi="Calibri" w:cs="Calibri"/>
                <w:sz w:val="24"/>
                <w:szCs w:val="24"/>
              </w:rPr>
            </w:pPr>
            <w:r w:rsidRPr="0099030A">
              <w:rPr>
                <w:rFonts w:ascii="Calibri" w:hAnsi="Calibri" w:cs="Calibri"/>
                <w:sz w:val="24"/>
                <w:szCs w:val="24"/>
              </w:rPr>
              <w:t>011635</w:t>
            </w:r>
            <w:r w:rsidR="00337799">
              <w:rPr>
                <w:rFonts w:ascii="Calibri" w:hAnsi="Calibri" w:cs="Calibri"/>
                <w:sz w:val="24"/>
                <w:szCs w:val="24"/>
              </w:rPr>
              <w:t xml:space="preserve"> (HR will complete)</w:t>
            </w:r>
          </w:p>
        </w:tc>
      </w:tr>
    </w:tbl>
    <w:p w14:paraId="088F5662" w14:textId="4D97F00B" w:rsidR="00837CE0" w:rsidRPr="0099030A" w:rsidRDefault="00837CE0" w:rsidP="0099030A">
      <w:pPr>
        <w:spacing w:line="276" w:lineRule="auto"/>
        <w:rPr>
          <w:rFonts w:ascii="Calibri" w:hAnsi="Calibri" w:cs="Calibri"/>
          <w:sz w:val="24"/>
          <w:szCs w:val="24"/>
        </w:rPr>
      </w:pPr>
      <w:r w:rsidRPr="0099030A">
        <w:rPr>
          <w:rFonts w:ascii="Calibri" w:hAnsi="Calibri" w:cs="Calibri"/>
          <w:sz w:val="24"/>
          <w:szCs w:val="24"/>
        </w:rPr>
        <w:t> </w:t>
      </w:r>
    </w:p>
    <w:p w14:paraId="566FE1F6" w14:textId="66CCF1F3" w:rsidR="2E194816" w:rsidRPr="0099030A" w:rsidRDefault="71B01C4F" w:rsidP="00132534">
      <w:pPr>
        <w:spacing w:line="276" w:lineRule="auto"/>
        <w:jc w:val="center"/>
        <w:rPr>
          <w:rFonts w:ascii="Calibri" w:eastAsia="Calibri" w:hAnsi="Calibri" w:cs="Calibri"/>
          <w:b/>
          <w:bCs/>
          <w:sz w:val="24"/>
          <w:szCs w:val="24"/>
        </w:rPr>
      </w:pPr>
      <w:r w:rsidRPr="0099030A">
        <w:rPr>
          <w:rFonts w:ascii="Calibri" w:eastAsia="Calibri" w:hAnsi="Calibri" w:cs="Calibri"/>
          <w:b/>
          <w:bCs/>
          <w:sz w:val="24"/>
          <w:szCs w:val="24"/>
        </w:rPr>
        <w:t>Job Description</w:t>
      </w:r>
    </w:p>
    <w:p w14:paraId="09058E05" w14:textId="7E5BE529" w:rsidR="0002E0CC"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19C977D7" w14:textId="77777777" w:rsidR="00837CE0" w:rsidRPr="0099030A" w:rsidRDefault="00837CE0">
      <w:pPr>
        <w:pStyle w:val="ListParagraph"/>
        <w:numPr>
          <w:ilvl w:val="0"/>
          <w:numId w:val="9"/>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Role Relationships</w:t>
      </w:r>
      <w:r w:rsidRPr="0099030A">
        <w:rPr>
          <w:rFonts w:ascii="Calibri" w:eastAsia="Calibri" w:hAnsi="Calibri" w:cs="Calibri"/>
          <w:sz w:val="24"/>
          <w:szCs w:val="24"/>
        </w:rPr>
        <w:t> </w:t>
      </w:r>
    </w:p>
    <w:p w14:paraId="0C9A33D6" w14:textId="77777777" w:rsidR="0006750C" w:rsidRPr="00132534" w:rsidRDefault="0006750C" w:rsidP="0099030A">
      <w:pPr>
        <w:spacing w:before="300" w:line="276" w:lineRule="auto"/>
        <w:rPr>
          <w:rFonts w:ascii="Calibri" w:hAnsi="Calibri" w:cs="Calibri"/>
          <w:b/>
          <w:sz w:val="24"/>
          <w:szCs w:val="24"/>
        </w:rPr>
      </w:pPr>
      <w:r w:rsidRPr="00132534">
        <w:rPr>
          <w:rFonts w:ascii="Calibri" w:hAnsi="Calibri" w:cs="Calibri"/>
          <w:b/>
          <w:sz w:val="24"/>
          <w:szCs w:val="24"/>
        </w:rPr>
        <w:t xml:space="preserve">The post holder has specific job contact with: </w:t>
      </w:r>
    </w:p>
    <w:p w14:paraId="47A85907" w14:textId="77777777" w:rsidR="0006750C" w:rsidRPr="0099030A" w:rsidRDefault="0006750C">
      <w:pPr>
        <w:pStyle w:val="ListParagraph"/>
        <w:numPr>
          <w:ilvl w:val="0"/>
          <w:numId w:val="22"/>
        </w:numPr>
        <w:spacing w:before="300" w:line="276" w:lineRule="auto"/>
        <w:rPr>
          <w:rFonts w:ascii="Calibri" w:hAnsi="Calibri" w:cs="Calibri"/>
          <w:b/>
          <w:sz w:val="24"/>
          <w:szCs w:val="24"/>
          <w:highlight w:val="yellow"/>
        </w:rPr>
      </w:pPr>
    </w:p>
    <w:p w14:paraId="6B351C03" w14:textId="77777777" w:rsidR="0006750C" w:rsidRPr="00132534" w:rsidRDefault="0006750C" w:rsidP="0099030A">
      <w:pPr>
        <w:spacing w:before="300" w:line="276" w:lineRule="auto"/>
        <w:rPr>
          <w:rFonts w:ascii="Calibri" w:hAnsi="Calibri" w:cs="Calibri"/>
          <w:b/>
          <w:sz w:val="24"/>
          <w:szCs w:val="24"/>
        </w:rPr>
      </w:pPr>
      <w:r w:rsidRPr="00132534">
        <w:rPr>
          <w:rFonts w:ascii="Calibri" w:hAnsi="Calibri" w:cs="Calibri"/>
          <w:b/>
          <w:sz w:val="24"/>
          <w:szCs w:val="24"/>
        </w:rPr>
        <w:t xml:space="preserve">Organisation chart to illustrate position of job holder:        </w:t>
      </w:r>
    </w:p>
    <w:p w14:paraId="4E0429A0" w14:textId="2D740A94" w:rsidR="0006750C" w:rsidRPr="0099030A" w:rsidRDefault="0006750C">
      <w:pPr>
        <w:pStyle w:val="ListParagraph"/>
        <w:numPr>
          <w:ilvl w:val="0"/>
          <w:numId w:val="22"/>
        </w:numPr>
        <w:spacing w:before="300" w:line="276" w:lineRule="auto"/>
        <w:rPr>
          <w:rFonts w:ascii="Calibri" w:hAnsi="Calibri" w:cs="Calibri"/>
          <w:b/>
          <w:sz w:val="24"/>
          <w:szCs w:val="24"/>
          <w:highlight w:val="yellow"/>
        </w:rPr>
      </w:pPr>
      <w:r w:rsidRPr="0099030A">
        <w:rPr>
          <w:rFonts w:ascii="Calibri" w:hAnsi="Calibri" w:cs="Calibri"/>
          <w:b/>
          <w:sz w:val="24"/>
          <w:szCs w:val="24"/>
          <w:highlight w:val="yellow"/>
        </w:rPr>
        <w:t>Please include org chart here</w:t>
      </w:r>
    </w:p>
    <w:p w14:paraId="5E0C948C" w14:textId="77777777" w:rsidR="0006750C" w:rsidRPr="0099030A" w:rsidRDefault="0006750C" w:rsidP="0099030A">
      <w:pPr>
        <w:spacing w:line="276" w:lineRule="auto"/>
        <w:jc w:val="both"/>
        <w:rPr>
          <w:rFonts w:ascii="Calibri" w:eastAsia="Calibri" w:hAnsi="Calibri" w:cs="Calibri"/>
          <w:sz w:val="24"/>
          <w:szCs w:val="24"/>
        </w:rPr>
      </w:pPr>
    </w:p>
    <w:p w14:paraId="6A267663" w14:textId="77777777" w:rsidR="00837CE0" w:rsidRPr="0099030A" w:rsidRDefault="00837CE0">
      <w:pPr>
        <w:pStyle w:val="ListParagraph"/>
        <w:numPr>
          <w:ilvl w:val="0"/>
          <w:numId w:val="12"/>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Main Purpose of Job</w:t>
      </w:r>
      <w:r w:rsidRPr="0099030A">
        <w:rPr>
          <w:rFonts w:ascii="Calibri" w:eastAsia="Calibri" w:hAnsi="Calibri" w:cs="Calibri"/>
          <w:sz w:val="24"/>
          <w:szCs w:val="24"/>
        </w:rPr>
        <w:t> </w:t>
      </w:r>
    </w:p>
    <w:p w14:paraId="6098930C" w14:textId="1C76E1BE" w:rsidR="00837CE0"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To provide administrative support in a higher education environment.  </w:t>
      </w:r>
      <w:r w:rsidR="00CD0B0E" w:rsidRPr="00CA076F">
        <w:rPr>
          <w:rFonts w:ascii="Calibri" w:eastAsia="Calibri" w:hAnsi="Calibri" w:cs="Calibri"/>
          <w:sz w:val="24"/>
          <w:szCs w:val="24"/>
          <w:highlight w:val="yellow"/>
        </w:rPr>
        <w:t xml:space="preserve">Please add </w:t>
      </w:r>
      <w:r w:rsidR="00CA076F" w:rsidRPr="00CA076F">
        <w:rPr>
          <w:rFonts w:ascii="Calibri" w:eastAsia="Calibri" w:hAnsi="Calibri" w:cs="Calibri"/>
          <w:sz w:val="24"/>
          <w:szCs w:val="24"/>
          <w:highlight w:val="yellow"/>
        </w:rPr>
        <w:t>short main purpose description</w:t>
      </w:r>
      <w:r w:rsidR="00F317EA">
        <w:rPr>
          <w:rFonts w:ascii="Calibri" w:eastAsia="Calibri" w:hAnsi="Calibri" w:cs="Calibri"/>
          <w:sz w:val="24"/>
          <w:szCs w:val="24"/>
          <w:highlight w:val="yellow"/>
        </w:rPr>
        <w:t xml:space="preserve"> from original post advertisement</w:t>
      </w:r>
      <w:r w:rsidR="00CA076F" w:rsidRPr="00CA076F">
        <w:rPr>
          <w:rFonts w:ascii="Calibri" w:eastAsia="Calibri" w:hAnsi="Calibri" w:cs="Calibri"/>
          <w:sz w:val="24"/>
          <w:szCs w:val="24"/>
          <w:highlight w:val="yellow"/>
        </w:rPr>
        <w:t>.</w:t>
      </w:r>
    </w:p>
    <w:p w14:paraId="5A72D715" w14:textId="51B975BE" w:rsidR="004F42AB" w:rsidRDefault="004F42AB">
      <w:pPr>
        <w:rPr>
          <w:rFonts w:ascii="Calibri" w:eastAsia="Calibri" w:hAnsi="Calibri" w:cs="Calibri"/>
          <w:sz w:val="24"/>
          <w:szCs w:val="24"/>
        </w:rPr>
      </w:pPr>
      <w:r>
        <w:rPr>
          <w:rFonts w:ascii="Calibri" w:eastAsia="Calibri" w:hAnsi="Calibri" w:cs="Calibri"/>
          <w:sz w:val="24"/>
          <w:szCs w:val="24"/>
        </w:rPr>
        <w:br w:type="page"/>
      </w:r>
    </w:p>
    <w:p w14:paraId="52E6DE20" w14:textId="77777777" w:rsidR="00132534" w:rsidRPr="0099030A" w:rsidRDefault="00132534" w:rsidP="0099030A">
      <w:pPr>
        <w:spacing w:line="276" w:lineRule="auto"/>
        <w:jc w:val="both"/>
        <w:rPr>
          <w:rFonts w:ascii="Calibri" w:eastAsia="Calibri" w:hAnsi="Calibri" w:cs="Calibri"/>
          <w:sz w:val="24"/>
          <w:szCs w:val="24"/>
        </w:rPr>
      </w:pPr>
    </w:p>
    <w:p w14:paraId="76AEA894" w14:textId="77777777" w:rsidR="0006750C" w:rsidRPr="0099030A" w:rsidRDefault="00837CE0">
      <w:pPr>
        <w:pStyle w:val="ListParagraph"/>
        <w:numPr>
          <w:ilvl w:val="0"/>
          <w:numId w:val="20"/>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Main Duties and Responsibilities</w:t>
      </w:r>
      <w:r w:rsidRPr="0099030A">
        <w:rPr>
          <w:rFonts w:ascii="Calibri" w:eastAsia="Calibri" w:hAnsi="Calibri" w:cs="Calibri"/>
          <w:sz w:val="24"/>
          <w:szCs w:val="24"/>
        </w:rPr>
        <w:t> </w:t>
      </w:r>
    </w:p>
    <w:p w14:paraId="584E2074" w14:textId="1FBD0971" w:rsidR="00837CE0" w:rsidRDefault="0006750C" w:rsidP="0099030A">
      <w:pPr>
        <w:spacing w:line="276" w:lineRule="auto"/>
        <w:jc w:val="both"/>
        <w:rPr>
          <w:rFonts w:ascii="Calibri" w:eastAsia="Calibri" w:hAnsi="Calibri" w:cs="Calibri"/>
          <w:sz w:val="24"/>
          <w:szCs w:val="24"/>
        </w:rPr>
      </w:pPr>
      <w:r w:rsidRPr="00772F3D">
        <w:rPr>
          <w:rFonts w:ascii="Calibri" w:eastAsia="Calibri" w:hAnsi="Calibri" w:cs="Calibri"/>
          <w:sz w:val="24"/>
          <w:szCs w:val="24"/>
          <w:highlight w:val="yellow"/>
        </w:rPr>
        <w:t>(</w:t>
      </w:r>
      <w:r w:rsidR="00F317EA">
        <w:rPr>
          <w:rFonts w:ascii="Calibri" w:eastAsia="Calibri" w:hAnsi="Calibri" w:cs="Calibri"/>
          <w:sz w:val="24"/>
          <w:szCs w:val="24"/>
          <w:highlight w:val="yellow"/>
        </w:rPr>
        <w:t xml:space="preserve">The following duties </w:t>
      </w:r>
      <w:r w:rsidR="007804F2">
        <w:rPr>
          <w:rFonts w:ascii="Calibri" w:eastAsia="Calibri" w:hAnsi="Calibri" w:cs="Calibri"/>
          <w:sz w:val="24"/>
          <w:szCs w:val="24"/>
          <w:highlight w:val="yellow"/>
        </w:rPr>
        <w:t>are included in the grade 3</w:t>
      </w:r>
      <w:r w:rsidR="007406B2">
        <w:rPr>
          <w:rFonts w:ascii="Calibri" w:eastAsia="Calibri" w:hAnsi="Calibri" w:cs="Calibri"/>
          <w:sz w:val="24"/>
          <w:szCs w:val="24"/>
          <w:highlight w:val="yellow"/>
        </w:rPr>
        <w:t xml:space="preserve"> panel job description. You can use these duties or replace them with the duties from the previous job description</w:t>
      </w:r>
      <w:r w:rsidR="004F42AB">
        <w:rPr>
          <w:rFonts w:ascii="Calibri" w:eastAsia="Calibri" w:hAnsi="Calibri" w:cs="Calibri"/>
          <w:sz w:val="24"/>
          <w:szCs w:val="24"/>
          <w:highlight w:val="yellow"/>
        </w:rPr>
        <w:t xml:space="preserve"> </w:t>
      </w:r>
      <w:r w:rsidR="004F42AB" w:rsidRPr="00772F3D">
        <w:rPr>
          <w:rFonts w:ascii="Calibri" w:eastAsia="Calibri" w:hAnsi="Calibri" w:cs="Calibri"/>
          <w:sz w:val="24"/>
          <w:szCs w:val="24"/>
          <w:highlight w:val="yellow"/>
        </w:rPr>
        <w:t>to reflect role</w:t>
      </w:r>
      <w:r w:rsidR="004F42AB" w:rsidRPr="00772F3D">
        <w:rPr>
          <w:rFonts w:ascii="Calibri" w:eastAsia="Calibri" w:hAnsi="Calibri" w:cs="Calibri"/>
          <w:sz w:val="24"/>
          <w:szCs w:val="24"/>
          <w:highlight w:val="yellow"/>
        </w:rPr>
        <w:noBreakHyphen/>
        <w:t>specific duties</w:t>
      </w:r>
      <w:r w:rsidR="007406B2">
        <w:rPr>
          <w:rFonts w:ascii="Calibri" w:eastAsia="Calibri" w:hAnsi="Calibri" w:cs="Calibri"/>
          <w:sz w:val="24"/>
          <w:szCs w:val="24"/>
          <w:highlight w:val="yellow"/>
        </w:rPr>
        <w:t>)</w:t>
      </w:r>
      <w:r w:rsidR="007804F2">
        <w:rPr>
          <w:rFonts w:ascii="Calibri" w:eastAsia="Calibri" w:hAnsi="Calibri" w:cs="Calibri"/>
          <w:sz w:val="24"/>
          <w:szCs w:val="24"/>
          <w:highlight w:val="yellow"/>
        </w:rPr>
        <w:t xml:space="preserve">.  </w:t>
      </w:r>
      <w:r w:rsidR="004F42AB">
        <w:rPr>
          <w:rFonts w:ascii="Calibri" w:eastAsia="Calibri" w:hAnsi="Calibri" w:cs="Calibri"/>
          <w:sz w:val="24"/>
          <w:szCs w:val="24"/>
          <w:highlight w:val="yellow"/>
        </w:rPr>
        <w:t>Please</w:t>
      </w:r>
      <w:r w:rsidRPr="00772F3D">
        <w:rPr>
          <w:rFonts w:ascii="Calibri" w:eastAsia="Calibri" w:hAnsi="Calibri" w:cs="Calibri"/>
          <w:sz w:val="24"/>
          <w:szCs w:val="24"/>
          <w:highlight w:val="yellow"/>
        </w:rPr>
        <w:t xml:space="preserve"> keep wording close to the original to maintain grade alignment)</w:t>
      </w:r>
    </w:p>
    <w:p w14:paraId="5798DED1" w14:textId="72F2AEFF" w:rsidR="00837CE0" w:rsidRPr="00772F3D"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r w:rsidRPr="00772F3D">
        <w:rPr>
          <w:rFonts w:ascii="Calibri" w:eastAsia="Calibri" w:hAnsi="Calibri" w:cs="Calibri"/>
          <w:sz w:val="24"/>
          <w:szCs w:val="24"/>
        </w:rPr>
        <w:t>To provide the Unit with a comprehensive and professional administrative and support service.  </w:t>
      </w:r>
    </w:p>
    <w:p w14:paraId="11A4113B" w14:textId="01DD4D89" w:rsidR="00837CE0" w:rsidRPr="00772F3D" w:rsidRDefault="10466F36">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Providing the highest quality standards in customer service when dealing with the public, students, stakeholders and internal staff. Act as a point of contact in resolving complex queries. </w:t>
      </w:r>
    </w:p>
    <w:p w14:paraId="61C4B6B9" w14:textId="366ACD05" w:rsidR="00837CE0" w:rsidRPr="00772F3D" w:rsidRDefault="10466F36">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Managing and maintaining system</w:t>
      </w:r>
      <w:r w:rsidR="00576C78" w:rsidRPr="00772F3D">
        <w:rPr>
          <w:rFonts w:ascii="Calibri" w:eastAsia="Calibri" w:hAnsi="Calibri" w:cs="Calibri"/>
          <w:sz w:val="24"/>
          <w:szCs w:val="24"/>
        </w:rPr>
        <w:t xml:space="preserve"> e.g.</w:t>
      </w:r>
      <w:r w:rsidRPr="00772F3D">
        <w:rPr>
          <w:rFonts w:ascii="Calibri" w:eastAsia="Calibri" w:hAnsi="Calibri" w:cs="Calibri"/>
          <w:sz w:val="24"/>
          <w:szCs w:val="24"/>
        </w:rPr>
        <w:t xml:space="preserve"> HR, Payroll, Finance, Student Information and Learning Management Systems. </w:t>
      </w:r>
    </w:p>
    <w:p w14:paraId="570FF69E" w14:textId="289E4FEB" w:rsidR="00837CE0" w:rsidRPr="00772F3D" w:rsidRDefault="10466F36">
      <w:pPr>
        <w:pStyle w:val="ListParagraph"/>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Managing assigned tasks and prioritising competing tasks to ensure that they are completed on time and to a high standard with excellent attention to detail.  </w:t>
      </w:r>
    </w:p>
    <w:p w14:paraId="1EA8D9B6" w14:textId="38D7854B" w:rsidR="00837CE0" w:rsidRPr="00772F3D" w:rsidRDefault="00837CE0">
      <w:pPr>
        <w:numPr>
          <w:ilvl w:val="0"/>
          <w:numId w:val="3"/>
        </w:numPr>
        <w:spacing w:line="276" w:lineRule="auto"/>
        <w:jc w:val="both"/>
        <w:rPr>
          <w:rFonts w:ascii="Calibri" w:eastAsia="Calibri" w:hAnsi="Calibri" w:cs="Calibri"/>
          <w:sz w:val="24"/>
          <w:szCs w:val="24"/>
        </w:rPr>
      </w:pPr>
      <w:r w:rsidRPr="00772F3D">
        <w:rPr>
          <w:rFonts w:ascii="Calibri" w:eastAsia="Calibri" w:hAnsi="Calibri" w:cs="Calibri"/>
          <w:sz w:val="24"/>
          <w:szCs w:val="24"/>
        </w:rPr>
        <w:t>To prepare and organise information and reports for both internal and external meetings, ensuring workloads are managed appropriately and that</w:t>
      </w:r>
      <w:r w:rsidR="00B55899" w:rsidRPr="00772F3D">
        <w:rPr>
          <w:rFonts w:ascii="Calibri" w:eastAsia="Calibri" w:hAnsi="Calibri" w:cs="Calibri"/>
          <w:sz w:val="24"/>
          <w:szCs w:val="24"/>
        </w:rPr>
        <w:t xml:space="preserve"> </w:t>
      </w:r>
      <w:r w:rsidRPr="00772F3D">
        <w:rPr>
          <w:rFonts w:ascii="Calibri" w:eastAsia="Calibri" w:hAnsi="Calibri" w:cs="Calibri"/>
          <w:sz w:val="24"/>
          <w:szCs w:val="24"/>
        </w:rPr>
        <w:t>all deadlines are met. </w:t>
      </w:r>
    </w:p>
    <w:p w14:paraId="4EB4D02A" w14:textId="165736D1" w:rsidR="00837CE0" w:rsidRPr="00772F3D" w:rsidRDefault="00837CE0">
      <w:pPr>
        <w:numPr>
          <w:ilvl w:val="0"/>
          <w:numId w:val="16"/>
        </w:numPr>
        <w:spacing w:line="276" w:lineRule="auto"/>
        <w:jc w:val="both"/>
        <w:rPr>
          <w:rFonts w:ascii="Calibri" w:eastAsia="Calibri" w:hAnsi="Calibri" w:cs="Calibri"/>
          <w:sz w:val="24"/>
          <w:szCs w:val="24"/>
        </w:rPr>
      </w:pPr>
      <w:r w:rsidRPr="00772F3D">
        <w:rPr>
          <w:rFonts w:ascii="Calibri" w:eastAsia="Calibri" w:hAnsi="Calibri" w:cs="Calibri"/>
          <w:sz w:val="24"/>
          <w:szCs w:val="24"/>
        </w:rPr>
        <w:t>Contributing to</w:t>
      </w:r>
      <w:r w:rsidR="006E2820" w:rsidRPr="00772F3D">
        <w:rPr>
          <w:rFonts w:ascii="Calibri" w:eastAsia="Calibri" w:hAnsi="Calibri" w:cs="Calibri"/>
          <w:sz w:val="24"/>
          <w:szCs w:val="24"/>
        </w:rPr>
        <w:t>/</w:t>
      </w:r>
      <w:r w:rsidRPr="00772F3D">
        <w:rPr>
          <w:rFonts w:ascii="Calibri" w:eastAsia="Calibri" w:hAnsi="Calibri" w:cs="Calibri"/>
          <w:sz w:val="24"/>
          <w:szCs w:val="24"/>
        </w:rPr>
        <w:t>carrying</w:t>
      </w:r>
      <w:r w:rsidR="006E2820" w:rsidRPr="00772F3D">
        <w:rPr>
          <w:rFonts w:ascii="Calibri" w:eastAsia="Calibri" w:hAnsi="Calibri" w:cs="Calibri"/>
          <w:sz w:val="24"/>
          <w:szCs w:val="24"/>
        </w:rPr>
        <w:t xml:space="preserve"> </w:t>
      </w:r>
      <w:r w:rsidRPr="00772F3D">
        <w:rPr>
          <w:rFonts w:ascii="Calibri" w:eastAsia="Calibri" w:hAnsi="Calibri" w:cs="Calibri"/>
          <w:sz w:val="24"/>
          <w:szCs w:val="24"/>
        </w:rPr>
        <w:t>out</w:t>
      </w:r>
      <w:r w:rsidR="006E2820" w:rsidRPr="00772F3D">
        <w:rPr>
          <w:rFonts w:ascii="Calibri" w:eastAsia="Calibri" w:hAnsi="Calibri" w:cs="Calibri"/>
          <w:sz w:val="24"/>
          <w:szCs w:val="24"/>
        </w:rPr>
        <w:t>/leading</w:t>
      </w:r>
      <w:r w:rsidRPr="00772F3D">
        <w:rPr>
          <w:rFonts w:ascii="Calibri" w:eastAsia="Calibri" w:hAnsi="Calibri" w:cs="Calibri"/>
          <w:sz w:val="24"/>
          <w:szCs w:val="24"/>
        </w:rPr>
        <w:t xml:space="preserve"> project work as/when required, contribute to process improvements and development of SOPs (Standard Operating Procedures)  </w:t>
      </w:r>
    </w:p>
    <w:p w14:paraId="4DA698D4" w14:textId="77777777" w:rsidR="00837CE0" w:rsidRPr="00772F3D" w:rsidRDefault="00837CE0">
      <w:pPr>
        <w:numPr>
          <w:ilvl w:val="0"/>
          <w:numId w:val="15"/>
        </w:numPr>
        <w:spacing w:line="276" w:lineRule="auto"/>
        <w:jc w:val="both"/>
        <w:rPr>
          <w:rFonts w:ascii="Calibri" w:eastAsia="Calibri" w:hAnsi="Calibri" w:cs="Calibri"/>
          <w:sz w:val="24"/>
          <w:szCs w:val="24"/>
        </w:rPr>
      </w:pPr>
      <w:r w:rsidRPr="00772F3D">
        <w:rPr>
          <w:rFonts w:ascii="Calibri" w:eastAsia="Calibri" w:hAnsi="Calibri" w:cs="Calibri"/>
          <w:sz w:val="24"/>
          <w:szCs w:val="24"/>
        </w:rPr>
        <w:t>Support the training of new staff members and ensuring efficient management of workloads during peak times. </w:t>
      </w:r>
    </w:p>
    <w:p w14:paraId="0B41CB8B" w14:textId="77777777" w:rsidR="00837CE0" w:rsidRPr="00772F3D" w:rsidRDefault="00837CE0">
      <w:pPr>
        <w:numPr>
          <w:ilvl w:val="0"/>
          <w:numId w:val="13"/>
        </w:numPr>
        <w:spacing w:line="276" w:lineRule="auto"/>
        <w:jc w:val="both"/>
        <w:rPr>
          <w:rFonts w:ascii="Calibri" w:eastAsia="Calibri" w:hAnsi="Calibri" w:cs="Calibri"/>
          <w:sz w:val="24"/>
          <w:szCs w:val="24"/>
        </w:rPr>
      </w:pPr>
      <w:r w:rsidRPr="00772F3D">
        <w:rPr>
          <w:rFonts w:ascii="Calibri" w:eastAsia="Calibri" w:hAnsi="Calibri" w:cs="Calibri"/>
          <w:sz w:val="24"/>
          <w:szCs w:val="24"/>
        </w:rPr>
        <w:t>Supervision and guidance of administrative staff where required whilst working on own initiative and as part of a team in delivering services. </w:t>
      </w:r>
    </w:p>
    <w:p w14:paraId="51027855" w14:textId="77777777" w:rsidR="00837CE0" w:rsidRPr="00772F3D" w:rsidRDefault="00837CE0">
      <w:pPr>
        <w:numPr>
          <w:ilvl w:val="0"/>
          <w:numId w:val="19"/>
        </w:numPr>
        <w:spacing w:line="276" w:lineRule="auto"/>
        <w:jc w:val="both"/>
        <w:rPr>
          <w:rFonts w:ascii="Calibri" w:eastAsia="Calibri" w:hAnsi="Calibri" w:cs="Calibri"/>
          <w:sz w:val="24"/>
          <w:szCs w:val="24"/>
        </w:rPr>
      </w:pPr>
      <w:r w:rsidRPr="00772F3D">
        <w:rPr>
          <w:rFonts w:ascii="Calibri" w:eastAsia="Calibri" w:hAnsi="Calibri" w:cs="Calibri"/>
          <w:sz w:val="24"/>
          <w:szCs w:val="24"/>
        </w:rPr>
        <w:t>Checking work thoroughly to ensure it is always completed accurately and to a high standard. </w:t>
      </w:r>
    </w:p>
    <w:p w14:paraId="66CF3768" w14:textId="77777777" w:rsidR="00837CE0" w:rsidRPr="00772F3D" w:rsidRDefault="00837CE0">
      <w:pPr>
        <w:numPr>
          <w:ilvl w:val="0"/>
          <w:numId w:val="4"/>
        </w:numPr>
        <w:spacing w:line="276" w:lineRule="auto"/>
        <w:jc w:val="both"/>
        <w:rPr>
          <w:rFonts w:ascii="Calibri" w:eastAsia="Calibri" w:hAnsi="Calibri" w:cs="Calibri"/>
          <w:sz w:val="24"/>
          <w:szCs w:val="24"/>
        </w:rPr>
      </w:pPr>
      <w:r w:rsidRPr="00772F3D">
        <w:rPr>
          <w:rFonts w:ascii="Calibri" w:eastAsia="Calibri" w:hAnsi="Calibri" w:cs="Calibri"/>
          <w:sz w:val="24"/>
          <w:szCs w:val="24"/>
        </w:rPr>
        <w:t> Ensure compliance with University policies and procedures. </w:t>
      </w:r>
    </w:p>
    <w:p w14:paraId="6F2E0EA8" w14:textId="2F31CC9F" w:rsidR="00837CE0" w:rsidRPr="00772F3D" w:rsidRDefault="00837CE0">
      <w:pPr>
        <w:numPr>
          <w:ilvl w:val="0"/>
          <w:numId w:val="18"/>
        </w:numPr>
        <w:spacing w:line="276" w:lineRule="auto"/>
        <w:jc w:val="both"/>
        <w:rPr>
          <w:rFonts w:ascii="Calibri" w:eastAsia="Calibri" w:hAnsi="Calibri" w:cs="Calibri"/>
          <w:sz w:val="24"/>
          <w:szCs w:val="24"/>
        </w:rPr>
      </w:pPr>
      <w:r w:rsidRPr="00772F3D">
        <w:rPr>
          <w:rFonts w:ascii="Calibri" w:eastAsia="Calibri" w:hAnsi="Calibri" w:cs="Calibri"/>
          <w:sz w:val="24"/>
          <w:szCs w:val="24"/>
        </w:rPr>
        <w:t>Undertake other appropriate duties assigned by line management. </w:t>
      </w:r>
    </w:p>
    <w:p w14:paraId="54F53CB7" w14:textId="77777777" w:rsidR="00837CE0" w:rsidRPr="0099030A" w:rsidRDefault="00837CE0" w:rsidP="0099030A">
      <w:pPr>
        <w:spacing w:line="276" w:lineRule="auto"/>
        <w:jc w:val="both"/>
        <w:rPr>
          <w:rFonts w:ascii="Calibri" w:eastAsia="Calibri" w:hAnsi="Calibri" w:cs="Calibri"/>
          <w:sz w:val="24"/>
          <w:szCs w:val="24"/>
        </w:rPr>
      </w:pPr>
      <w:r w:rsidRPr="00772F3D">
        <w:rPr>
          <w:rFonts w:ascii="Calibri" w:eastAsia="Calibri" w:hAnsi="Calibri" w:cs="Calibri"/>
          <w:sz w:val="24"/>
          <w:szCs w:val="24"/>
        </w:rPr>
        <w:t>It should be noted that the work carried out may vary from unit to unit.</w:t>
      </w:r>
      <w:r w:rsidRPr="0099030A">
        <w:rPr>
          <w:rFonts w:ascii="Calibri" w:eastAsia="Calibri" w:hAnsi="Calibri" w:cs="Calibri"/>
          <w:sz w:val="24"/>
          <w:szCs w:val="24"/>
        </w:rPr>
        <w:t> </w:t>
      </w:r>
    </w:p>
    <w:p w14:paraId="16CC7590" w14:textId="78902207" w:rsidR="00772F3D"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4C765C54" w14:textId="77777777" w:rsidR="00772F3D" w:rsidRDefault="00772F3D">
      <w:pPr>
        <w:rPr>
          <w:rFonts w:ascii="Calibri" w:eastAsia="Calibri" w:hAnsi="Calibri" w:cs="Calibri"/>
          <w:sz w:val="24"/>
          <w:szCs w:val="24"/>
        </w:rPr>
      </w:pPr>
      <w:r>
        <w:rPr>
          <w:rFonts w:ascii="Calibri" w:eastAsia="Calibri" w:hAnsi="Calibri" w:cs="Calibri"/>
          <w:sz w:val="24"/>
          <w:szCs w:val="24"/>
        </w:rPr>
        <w:br w:type="page"/>
      </w:r>
    </w:p>
    <w:p w14:paraId="5CA5ABB3" w14:textId="77777777" w:rsidR="00772F3D" w:rsidRDefault="00837CE0">
      <w:pPr>
        <w:pStyle w:val="ListParagraph"/>
        <w:numPr>
          <w:ilvl w:val="0"/>
          <w:numId w:val="1"/>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Requirements for the role:</w:t>
      </w:r>
      <w:r w:rsidRPr="0099030A">
        <w:rPr>
          <w:rFonts w:ascii="Calibri" w:eastAsia="Calibri" w:hAnsi="Calibri" w:cs="Calibri"/>
          <w:sz w:val="24"/>
          <w:szCs w:val="24"/>
        </w:rPr>
        <w:t> </w:t>
      </w:r>
    </w:p>
    <w:p w14:paraId="75C85C45" w14:textId="77777777" w:rsidR="006920D3" w:rsidRDefault="0006750C" w:rsidP="00772F3D">
      <w:pPr>
        <w:spacing w:line="276" w:lineRule="auto"/>
        <w:jc w:val="both"/>
        <w:rPr>
          <w:rFonts w:ascii="Calibri" w:eastAsia="Calibri" w:hAnsi="Calibri" w:cs="Calibri"/>
          <w:sz w:val="24"/>
          <w:szCs w:val="24"/>
          <w:highlight w:val="yellow"/>
        </w:rPr>
      </w:pPr>
      <w:r w:rsidRPr="00772F3D">
        <w:rPr>
          <w:rFonts w:ascii="Calibri" w:eastAsia="Calibri" w:hAnsi="Calibri" w:cs="Calibri"/>
          <w:sz w:val="24"/>
          <w:szCs w:val="24"/>
          <w:highlight w:val="yellow"/>
        </w:rPr>
        <w:t xml:space="preserve">Essential and desirable criteria should </w:t>
      </w:r>
      <w:r w:rsidR="006920D3">
        <w:rPr>
          <w:rFonts w:ascii="Calibri" w:eastAsia="Calibri" w:hAnsi="Calibri" w:cs="Calibri"/>
          <w:sz w:val="24"/>
          <w:szCs w:val="24"/>
          <w:highlight w:val="yellow"/>
        </w:rPr>
        <w:t>read as below regardless of original advertisement criteria.</w:t>
      </w:r>
    </w:p>
    <w:p w14:paraId="44FBC6D8" w14:textId="77777777" w:rsidR="00BC2105" w:rsidRPr="002B13D2" w:rsidRDefault="006920D3" w:rsidP="00BC2105">
      <w:pPr>
        <w:spacing w:line="27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These criteria will </w:t>
      </w:r>
      <w:r w:rsidR="0006750C" w:rsidRPr="00772F3D">
        <w:rPr>
          <w:rFonts w:ascii="Calibri" w:eastAsia="Calibri" w:hAnsi="Calibri" w:cs="Calibri"/>
          <w:sz w:val="24"/>
          <w:szCs w:val="24"/>
          <w:highlight w:val="yellow"/>
        </w:rPr>
        <w:t xml:space="preserve">remain unchanged unless strongly justified. </w:t>
      </w:r>
      <w:r w:rsidR="00BC2105" w:rsidRPr="002B13D2">
        <w:rPr>
          <w:rFonts w:ascii="Calibri" w:eastAsia="Calibri" w:hAnsi="Calibri" w:cs="Calibri"/>
          <w:sz w:val="24"/>
          <w:szCs w:val="24"/>
          <w:highlight w:val="yellow"/>
        </w:rPr>
        <w:t xml:space="preserve">A desktop grading review </w:t>
      </w:r>
      <w:r w:rsidR="00BC2105">
        <w:rPr>
          <w:rFonts w:ascii="Calibri" w:eastAsia="Calibri" w:hAnsi="Calibri" w:cs="Calibri"/>
          <w:sz w:val="24"/>
          <w:szCs w:val="24"/>
          <w:highlight w:val="yellow"/>
        </w:rPr>
        <w:t>may be required if criteria is amended.</w:t>
      </w:r>
    </w:p>
    <w:p w14:paraId="2FF24BFD"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The successful candidate will demonstrate the eligibility requirements below in terms of qualification, skills and experience: </w:t>
      </w:r>
    </w:p>
    <w:p w14:paraId="7D59F868"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b/>
          <w:bCs/>
          <w:sz w:val="24"/>
          <w:szCs w:val="24"/>
        </w:rPr>
        <w:t>Essential Criteria</w:t>
      </w:r>
      <w:r w:rsidRPr="0099030A">
        <w:rPr>
          <w:rFonts w:ascii="Calibri" w:eastAsia="Calibri" w:hAnsi="Calibri" w:cs="Calibri"/>
          <w:sz w:val="24"/>
          <w:szCs w:val="24"/>
        </w:rPr>
        <w:t> </w:t>
      </w:r>
    </w:p>
    <w:p w14:paraId="11CB2B19" w14:textId="3D11CF74" w:rsidR="00837CE0" w:rsidRPr="0099030A" w:rsidRDefault="00837CE0">
      <w:pPr>
        <w:numPr>
          <w:ilvl w:val="0"/>
          <w:numId w:val="2"/>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A minimum of five passes at Leaving Certificate level (or </w:t>
      </w:r>
      <w:r w:rsidR="00ED0E55" w:rsidRPr="0099030A">
        <w:rPr>
          <w:rFonts w:ascii="Calibri" w:eastAsia="Calibri" w:hAnsi="Calibri" w:cs="Calibri"/>
          <w:sz w:val="24"/>
          <w:szCs w:val="24"/>
        </w:rPr>
        <w:t xml:space="preserve">equivalent </w:t>
      </w:r>
      <w:r w:rsidR="006E2820" w:rsidRPr="0099030A">
        <w:rPr>
          <w:rFonts w:ascii="Calibri" w:eastAsia="Calibri" w:hAnsi="Calibri" w:cs="Calibri"/>
          <w:sz w:val="24"/>
          <w:szCs w:val="24"/>
        </w:rPr>
        <w:t>NFQ Level 5 qualification)</w:t>
      </w:r>
    </w:p>
    <w:p w14:paraId="4D270699" w14:textId="4EDF2BED" w:rsidR="39EFB0BD" w:rsidRPr="0099030A" w:rsidRDefault="39EFB0BD" w:rsidP="00772F3D">
      <w:pPr>
        <w:spacing w:line="276" w:lineRule="auto"/>
        <w:ind w:left="360"/>
        <w:jc w:val="both"/>
        <w:rPr>
          <w:rFonts w:ascii="Calibri" w:eastAsia="Calibri" w:hAnsi="Calibri" w:cs="Calibri"/>
          <w:b/>
          <w:bCs/>
          <w:sz w:val="24"/>
          <w:szCs w:val="24"/>
        </w:rPr>
      </w:pPr>
      <w:r w:rsidRPr="0099030A">
        <w:rPr>
          <w:rFonts w:ascii="Calibri" w:eastAsia="Calibri" w:hAnsi="Calibri" w:cs="Calibri"/>
          <w:b/>
          <w:bCs/>
          <w:sz w:val="24"/>
          <w:szCs w:val="24"/>
        </w:rPr>
        <w:t>A</w:t>
      </w:r>
      <w:r w:rsidR="00837CE0" w:rsidRPr="0099030A">
        <w:rPr>
          <w:rFonts w:ascii="Calibri" w:eastAsia="Calibri" w:hAnsi="Calibri" w:cs="Calibri"/>
          <w:b/>
          <w:bCs/>
          <w:sz w:val="24"/>
          <w:szCs w:val="24"/>
        </w:rPr>
        <w:t>nd</w:t>
      </w:r>
    </w:p>
    <w:p w14:paraId="6116BFFA" w14:textId="685F2D8C" w:rsidR="00837CE0" w:rsidRPr="0099030A" w:rsidRDefault="00837CE0" w:rsidP="00772F3D">
      <w:pPr>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 a recognised post-Leaving Certificate qualification (minimum </w:t>
      </w:r>
      <w:r w:rsidR="00ED0E55" w:rsidRPr="0099030A">
        <w:rPr>
          <w:rFonts w:ascii="Calibri" w:eastAsia="Calibri" w:hAnsi="Calibri" w:cs="Calibri"/>
          <w:sz w:val="24"/>
          <w:szCs w:val="24"/>
        </w:rPr>
        <w:t>NFQ Level 6 qualification</w:t>
      </w:r>
      <w:r w:rsidRPr="0099030A">
        <w:rPr>
          <w:rFonts w:ascii="Calibri" w:eastAsia="Calibri" w:hAnsi="Calibri" w:cs="Calibri"/>
          <w:sz w:val="24"/>
          <w:szCs w:val="24"/>
        </w:rPr>
        <w:t>) in administration, office technology, or a related</w:t>
      </w:r>
      <w:r w:rsidR="68D2F593" w:rsidRPr="0099030A">
        <w:rPr>
          <w:rFonts w:ascii="Calibri" w:eastAsia="Calibri" w:hAnsi="Calibri" w:cs="Calibri"/>
          <w:sz w:val="24"/>
          <w:szCs w:val="24"/>
        </w:rPr>
        <w:t xml:space="preserve"> admin</w:t>
      </w:r>
      <w:r w:rsidRPr="0099030A">
        <w:rPr>
          <w:rFonts w:ascii="Calibri" w:eastAsia="Calibri" w:hAnsi="Calibri" w:cs="Calibri"/>
          <w:sz w:val="24"/>
          <w:szCs w:val="24"/>
        </w:rPr>
        <w:t xml:space="preserve"> field</w:t>
      </w:r>
      <w:r w:rsidR="0ED207FF" w:rsidRPr="0099030A">
        <w:rPr>
          <w:rFonts w:ascii="Calibri" w:eastAsia="Calibri" w:hAnsi="Calibri" w:cs="Calibri"/>
          <w:sz w:val="24"/>
          <w:szCs w:val="24"/>
        </w:rPr>
        <w:t xml:space="preserve"> </w:t>
      </w:r>
    </w:p>
    <w:p w14:paraId="3080FC26" w14:textId="4D013187" w:rsidR="509C6730" w:rsidRPr="0099030A" w:rsidRDefault="509C6730" w:rsidP="00772F3D">
      <w:pPr>
        <w:spacing w:line="276" w:lineRule="auto"/>
        <w:ind w:left="360"/>
        <w:jc w:val="both"/>
        <w:rPr>
          <w:rFonts w:ascii="Calibri" w:eastAsia="Calibri" w:hAnsi="Calibri" w:cs="Calibri"/>
          <w:sz w:val="24"/>
          <w:szCs w:val="24"/>
        </w:rPr>
      </w:pPr>
      <w:r w:rsidRPr="0099030A">
        <w:rPr>
          <w:rFonts w:ascii="Calibri" w:eastAsia="Calibri" w:hAnsi="Calibri" w:cs="Calibri"/>
          <w:b/>
          <w:bCs/>
          <w:sz w:val="24"/>
          <w:szCs w:val="24"/>
        </w:rPr>
        <w:t xml:space="preserve">Or </w:t>
      </w:r>
      <w:r w:rsidRPr="0099030A">
        <w:rPr>
          <w:rFonts w:ascii="Calibri" w:eastAsia="Calibri" w:hAnsi="Calibri" w:cs="Calibri"/>
          <w:sz w:val="24"/>
          <w:szCs w:val="24"/>
        </w:rPr>
        <w:t xml:space="preserve">a </w:t>
      </w:r>
      <w:r w:rsidR="7645002E" w:rsidRPr="0099030A">
        <w:rPr>
          <w:rFonts w:ascii="Calibri" w:eastAsia="Calibri" w:hAnsi="Calibri" w:cs="Calibri"/>
          <w:sz w:val="24"/>
          <w:szCs w:val="24"/>
        </w:rPr>
        <w:t xml:space="preserve">recognised </w:t>
      </w:r>
      <w:r w:rsidRPr="0099030A">
        <w:rPr>
          <w:rFonts w:ascii="Calibri" w:eastAsia="Calibri" w:hAnsi="Calibri" w:cs="Calibri"/>
          <w:sz w:val="24"/>
          <w:szCs w:val="24"/>
        </w:rPr>
        <w:t xml:space="preserve">Level </w:t>
      </w:r>
      <w:r w:rsidR="00ED0E55" w:rsidRPr="0099030A">
        <w:rPr>
          <w:rFonts w:ascii="Calibri" w:eastAsia="Calibri" w:hAnsi="Calibri" w:cs="Calibri"/>
          <w:sz w:val="24"/>
          <w:szCs w:val="24"/>
        </w:rPr>
        <w:t>NFQ Level 7 qualification</w:t>
      </w:r>
    </w:p>
    <w:p w14:paraId="2D7B5FCE" w14:textId="44C3B9E9" w:rsidR="50EED77E" w:rsidRPr="0099030A" w:rsidRDefault="50EED77E" w:rsidP="00772F3D">
      <w:pPr>
        <w:spacing w:line="276" w:lineRule="auto"/>
        <w:ind w:left="360"/>
        <w:jc w:val="both"/>
        <w:rPr>
          <w:rFonts w:ascii="Calibri" w:eastAsia="Calibri" w:hAnsi="Calibri" w:cs="Calibri"/>
          <w:sz w:val="24"/>
          <w:szCs w:val="24"/>
        </w:rPr>
      </w:pPr>
      <w:r w:rsidRPr="0099030A">
        <w:rPr>
          <w:rFonts w:ascii="Calibri" w:eastAsia="Calibri" w:hAnsi="Calibri" w:cs="Calibri"/>
          <w:i/>
          <w:iCs/>
          <w:sz w:val="24"/>
          <w:szCs w:val="24"/>
        </w:rPr>
        <w:t xml:space="preserve">Qualification levels align with the National Framework of Qualifications (NFQ). Further information </w:t>
      </w:r>
      <w:r w:rsidR="63C7B3F4" w:rsidRPr="0099030A">
        <w:rPr>
          <w:rFonts w:ascii="Calibri" w:eastAsia="Calibri" w:hAnsi="Calibri" w:cs="Calibri"/>
          <w:i/>
          <w:iCs/>
          <w:sz w:val="24"/>
          <w:szCs w:val="24"/>
        </w:rPr>
        <w:t xml:space="preserve">below and </w:t>
      </w:r>
      <w:r w:rsidRPr="0099030A">
        <w:rPr>
          <w:rFonts w:ascii="Calibri" w:eastAsia="Calibri" w:hAnsi="Calibri" w:cs="Calibri"/>
          <w:i/>
          <w:iCs/>
          <w:sz w:val="24"/>
          <w:szCs w:val="24"/>
        </w:rPr>
        <w:t>at:</w:t>
      </w:r>
      <w:r w:rsidRPr="0099030A">
        <w:rPr>
          <w:rFonts w:ascii="Calibri" w:eastAsia="Calibri" w:hAnsi="Calibri" w:cs="Calibri"/>
          <w:sz w:val="24"/>
          <w:szCs w:val="24"/>
        </w:rPr>
        <w:t xml:space="preserve"> </w:t>
      </w:r>
      <w:hyperlink r:id="rId9">
        <w:r w:rsidR="00F52A2B" w:rsidRPr="0099030A">
          <w:rPr>
            <w:rStyle w:val="Hyperlink"/>
            <w:rFonts w:ascii="Calibri" w:eastAsia="Calibri" w:hAnsi="Calibri" w:cs="Calibri"/>
            <w:sz w:val="24"/>
            <w:szCs w:val="24"/>
          </w:rPr>
          <w:t>https://www.qqi.ie/what-we-do/the-qualifications-system/national-framework-of-qualifications</w:t>
        </w:r>
      </w:hyperlink>
      <w:r w:rsidR="00F52A2B" w:rsidRPr="0099030A">
        <w:rPr>
          <w:rFonts w:ascii="Calibri" w:eastAsia="Calibri" w:hAnsi="Calibri" w:cs="Calibri"/>
          <w:sz w:val="24"/>
          <w:szCs w:val="24"/>
        </w:rPr>
        <w:t xml:space="preserve"> </w:t>
      </w:r>
    </w:p>
    <w:p w14:paraId="10D360B7" w14:textId="0B4428F8" w:rsidR="00837CE0" w:rsidRPr="0099030A" w:rsidRDefault="6D6672F0">
      <w:pPr>
        <w:numPr>
          <w:ilvl w:val="0"/>
          <w:numId w:val="6"/>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Minimum of t</w:t>
      </w:r>
      <w:r w:rsidR="6A2EB09E" w:rsidRPr="0099030A">
        <w:rPr>
          <w:rFonts w:ascii="Calibri" w:eastAsia="Calibri" w:hAnsi="Calibri" w:cs="Calibri"/>
          <w:sz w:val="24"/>
          <w:szCs w:val="24"/>
        </w:rPr>
        <w:t xml:space="preserve">wo years of relevant administrative experience in a demanding and customer-focused environment, demonstrating strong </w:t>
      </w:r>
      <w:r w:rsidR="4339D3D9" w:rsidRPr="0099030A">
        <w:rPr>
          <w:rFonts w:ascii="Calibri" w:eastAsia="Calibri" w:hAnsi="Calibri" w:cs="Calibri"/>
          <w:sz w:val="24"/>
          <w:szCs w:val="24"/>
        </w:rPr>
        <w:t>service delivery</w:t>
      </w:r>
      <w:r w:rsidR="6A2EB09E" w:rsidRPr="0099030A">
        <w:rPr>
          <w:rFonts w:ascii="Calibri" w:eastAsia="Calibri" w:hAnsi="Calibri" w:cs="Calibri"/>
          <w:sz w:val="24"/>
          <w:szCs w:val="24"/>
        </w:rPr>
        <w:t>, and/or general office skills. </w:t>
      </w:r>
    </w:p>
    <w:p w14:paraId="18320D72" w14:textId="7CC581D2" w:rsidR="00837CE0" w:rsidRPr="0099030A" w:rsidRDefault="00837CE0">
      <w:pPr>
        <w:numPr>
          <w:ilvl w:val="0"/>
          <w:numId w:val="21"/>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 xml:space="preserve">Proficiency in Microsoft Office (Word, Excel, Outlook) and ability to work with other IT systems (e.g. </w:t>
      </w:r>
      <w:r w:rsidR="26E06BA2" w:rsidRPr="0099030A">
        <w:rPr>
          <w:rFonts w:ascii="Calibri" w:eastAsia="Calibri" w:hAnsi="Calibri" w:cs="Calibri"/>
          <w:sz w:val="24"/>
          <w:szCs w:val="24"/>
        </w:rPr>
        <w:t>Financial Management, HR/Payroll</w:t>
      </w:r>
      <w:r w:rsidR="0E792CDD" w:rsidRPr="0099030A">
        <w:rPr>
          <w:rFonts w:ascii="Calibri" w:eastAsia="Calibri" w:hAnsi="Calibri" w:cs="Calibri"/>
          <w:sz w:val="24"/>
          <w:szCs w:val="24"/>
        </w:rPr>
        <w:t>, Student Record Systems</w:t>
      </w:r>
      <w:r w:rsidRPr="0099030A">
        <w:rPr>
          <w:rFonts w:ascii="Calibri" w:eastAsia="Calibri" w:hAnsi="Calibri" w:cs="Calibri"/>
          <w:sz w:val="24"/>
          <w:szCs w:val="24"/>
        </w:rPr>
        <w:t>). </w:t>
      </w:r>
    </w:p>
    <w:p w14:paraId="533A9465" w14:textId="77777777" w:rsidR="00837CE0" w:rsidRPr="0099030A" w:rsidRDefault="00837CE0">
      <w:pPr>
        <w:numPr>
          <w:ilvl w:val="0"/>
          <w:numId w:val="17"/>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Proven ability to plan, prioritise, and manage multiple tasks and competing deadlines in a structured, efficient, and resourceful manner, maintaining attention to detail and high work standards. </w:t>
      </w:r>
    </w:p>
    <w:p w14:paraId="095BD98F" w14:textId="77777777" w:rsidR="00837CE0" w:rsidRPr="0099030A" w:rsidRDefault="00837CE0">
      <w:pPr>
        <w:numPr>
          <w:ilvl w:val="0"/>
          <w:numId w:val="10"/>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Demonstrated excellent communication and interpersonal abilities, including strong English language (written and verbal), numeracy, and data analysis skills. </w:t>
      </w:r>
    </w:p>
    <w:p w14:paraId="23B607E3" w14:textId="77777777" w:rsidR="00837CE0" w:rsidRPr="0099030A" w:rsidRDefault="00837CE0">
      <w:pPr>
        <w:numPr>
          <w:ilvl w:val="0"/>
          <w:numId w:val="14"/>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Evidence of ability to work effectively both independently and as part of a multidisciplinary team, showing empathy, respect, and confidentiality when dealing with colleagues or students/clients. </w:t>
      </w:r>
    </w:p>
    <w:p w14:paraId="19594724" w14:textId="77777777" w:rsidR="00837CE0" w:rsidRPr="0099030A" w:rsidRDefault="00837CE0">
      <w:pPr>
        <w:numPr>
          <w:ilvl w:val="0"/>
          <w:numId w:val="7"/>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Demonstrated initiative and motivation, with a flexible and positive attitude towards change. </w:t>
      </w:r>
    </w:p>
    <w:p w14:paraId="110AE1FC" w14:textId="77777777" w:rsidR="00837CE0" w:rsidRPr="0099030A" w:rsidRDefault="00837CE0">
      <w:pPr>
        <w:numPr>
          <w:ilvl w:val="0"/>
          <w:numId w:val="5"/>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Ability to embrace new ideas, adapt work practices, and maintain effectiveness in changing environments. </w:t>
      </w:r>
    </w:p>
    <w:p w14:paraId="698C32F9" w14:textId="77777777" w:rsidR="00837CE0" w:rsidRPr="0099030A" w:rsidRDefault="00837CE0">
      <w:pPr>
        <w:numPr>
          <w:ilvl w:val="0"/>
          <w:numId w:val="11"/>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Commitment to delivering a high-quality, customer-focused service, working in line with organisational policies, procedures, and confidentiality requirements. </w:t>
      </w:r>
    </w:p>
    <w:p w14:paraId="428C5DAA" w14:textId="77777777" w:rsidR="00837CE0" w:rsidRPr="0099030A" w:rsidRDefault="00837CE0">
      <w:pPr>
        <w:numPr>
          <w:ilvl w:val="0"/>
          <w:numId w:val="8"/>
        </w:numPr>
        <w:tabs>
          <w:tab w:val="clear" w:pos="720"/>
          <w:tab w:val="num" w:pos="360"/>
        </w:tabs>
        <w:spacing w:line="276" w:lineRule="auto"/>
        <w:ind w:left="360"/>
        <w:jc w:val="both"/>
        <w:rPr>
          <w:rFonts w:ascii="Calibri" w:eastAsia="Calibri" w:hAnsi="Calibri" w:cs="Calibri"/>
          <w:sz w:val="24"/>
          <w:szCs w:val="24"/>
        </w:rPr>
      </w:pPr>
      <w:r w:rsidRPr="0099030A">
        <w:rPr>
          <w:rFonts w:ascii="Calibri" w:eastAsia="Calibri" w:hAnsi="Calibri" w:cs="Calibri"/>
          <w:sz w:val="24"/>
          <w:szCs w:val="24"/>
        </w:rPr>
        <w:t>Displays integrity, reliability, and a willingness to follow procedures while continuously seeking to improve standards. </w:t>
      </w:r>
    </w:p>
    <w:p w14:paraId="25E263B3" w14:textId="77777777" w:rsidR="00A7614C" w:rsidRPr="0099030A" w:rsidRDefault="00A7614C" w:rsidP="0099030A">
      <w:pPr>
        <w:spacing w:line="276" w:lineRule="auto"/>
        <w:jc w:val="both"/>
        <w:rPr>
          <w:rFonts w:ascii="Calibri" w:eastAsia="Calibri" w:hAnsi="Calibri" w:cs="Calibri"/>
          <w:sz w:val="24"/>
          <w:szCs w:val="24"/>
        </w:rPr>
      </w:pPr>
    </w:p>
    <w:p w14:paraId="6BAD6A6E" w14:textId="77777777" w:rsidR="00837CE0" w:rsidRPr="0099030A" w:rsidRDefault="00837CE0">
      <w:pPr>
        <w:numPr>
          <w:ilvl w:val="0"/>
          <w:numId w:val="1"/>
        </w:numPr>
        <w:spacing w:line="276" w:lineRule="auto"/>
        <w:jc w:val="both"/>
        <w:rPr>
          <w:rFonts w:ascii="Calibri" w:eastAsia="Calibri" w:hAnsi="Calibri" w:cs="Calibri"/>
          <w:sz w:val="24"/>
          <w:szCs w:val="24"/>
        </w:rPr>
      </w:pPr>
      <w:r w:rsidRPr="0099030A">
        <w:rPr>
          <w:rFonts w:ascii="Calibri" w:eastAsia="Calibri" w:hAnsi="Calibri" w:cs="Calibri"/>
          <w:b/>
          <w:bCs/>
          <w:sz w:val="24"/>
          <w:szCs w:val="24"/>
        </w:rPr>
        <w:t>Special Features </w:t>
      </w:r>
      <w:r w:rsidRPr="0099030A">
        <w:rPr>
          <w:rFonts w:ascii="Calibri" w:eastAsia="Calibri" w:hAnsi="Calibri" w:cs="Calibri"/>
          <w:sz w:val="24"/>
          <w:szCs w:val="24"/>
        </w:rPr>
        <w:t> </w:t>
      </w:r>
    </w:p>
    <w:p w14:paraId="419121B9" w14:textId="77777777" w:rsidR="00BA78AA" w:rsidRPr="0099030A" w:rsidRDefault="00BA78AA" w:rsidP="0099030A">
      <w:pPr>
        <w:spacing w:line="276" w:lineRule="auto"/>
        <w:jc w:val="both"/>
        <w:rPr>
          <w:rFonts w:ascii="Calibri" w:eastAsia="Calibri" w:hAnsi="Calibri" w:cs="Calibri"/>
          <w:b/>
          <w:bCs/>
          <w:sz w:val="24"/>
          <w:szCs w:val="24"/>
        </w:rPr>
      </w:pPr>
    </w:p>
    <w:p w14:paraId="76D8DDDE" w14:textId="1B69B6A9"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b/>
          <w:bCs/>
          <w:sz w:val="24"/>
          <w:szCs w:val="24"/>
          <w:highlight w:val="yellow"/>
        </w:rPr>
        <w:t>Irish Requirement</w:t>
      </w:r>
      <w:r w:rsidRPr="00132534">
        <w:rPr>
          <w:rFonts w:ascii="Calibri" w:eastAsia="Calibri" w:hAnsi="Calibri" w:cs="Calibri"/>
          <w:sz w:val="24"/>
          <w:szCs w:val="24"/>
          <w:highlight w:val="yellow"/>
        </w:rPr>
        <w:t> </w:t>
      </w:r>
    </w:p>
    <w:p w14:paraId="78C47AAA" w14:textId="26AC0B82" w:rsidR="00837CE0" w:rsidRPr="00132534" w:rsidRDefault="00DD048E" w:rsidP="0099030A">
      <w:pPr>
        <w:spacing w:line="276" w:lineRule="auto"/>
        <w:jc w:val="both"/>
        <w:rPr>
          <w:rFonts w:ascii="Calibri" w:eastAsia="Calibri" w:hAnsi="Calibri" w:cs="Calibri"/>
          <w:sz w:val="24"/>
          <w:szCs w:val="24"/>
          <w:highlight w:val="yellow"/>
        </w:rPr>
      </w:pPr>
      <w:r>
        <w:rPr>
          <w:rFonts w:ascii="Calibri" w:eastAsia="Calibri" w:hAnsi="Calibri" w:cs="Calibri"/>
          <w:sz w:val="24"/>
          <w:szCs w:val="24"/>
          <w:highlight w:val="yellow"/>
        </w:rPr>
        <w:t>If the original post had an Irish requirement, this requirement will remain.</w:t>
      </w:r>
      <w:r w:rsidR="0027133F">
        <w:rPr>
          <w:rFonts w:ascii="Calibri" w:eastAsia="Calibri" w:hAnsi="Calibri" w:cs="Calibri"/>
          <w:sz w:val="24"/>
          <w:szCs w:val="24"/>
          <w:highlight w:val="yellow"/>
        </w:rPr>
        <w:t xml:space="preserve"> </w:t>
      </w:r>
      <w:r w:rsidR="0027133F">
        <w:rPr>
          <w:rFonts w:ascii="Calibri" w:eastAsia="Calibri" w:hAnsi="Calibri" w:cs="Calibri"/>
          <w:sz w:val="24"/>
          <w:szCs w:val="24"/>
          <w:highlight w:val="yellow"/>
        </w:rPr>
        <w:br/>
      </w:r>
      <w:r w:rsidR="0027133F">
        <w:rPr>
          <w:rFonts w:ascii="Calibri" w:eastAsia="Calibri" w:hAnsi="Calibri" w:cs="Calibri"/>
          <w:sz w:val="24"/>
          <w:szCs w:val="24"/>
          <w:highlight w:val="yellow"/>
        </w:rPr>
        <w:br/>
      </w:r>
      <w:r w:rsidR="00837CE0" w:rsidRPr="00132534">
        <w:rPr>
          <w:rFonts w:ascii="Calibri" w:eastAsia="Calibri" w:hAnsi="Calibri" w:cs="Calibri"/>
          <w:sz w:val="24"/>
          <w:szCs w:val="24"/>
          <w:highlight w:val="yellow"/>
        </w:rPr>
        <w:t>In such cases, successful candidates will be required to complete an Irish oral and written assessment within one year of appointment. </w:t>
      </w:r>
    </w:p>
    <w:p w14:paraId="24A2D70D" w14:textId="77777777"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sz w:val="24"/>
          <w:szCs w:val="24"/>
          <w:highlight w:val="yellow"/>
        </w:rPr>
        <w:t>For positions where fluency in Irish is essential, candidates will be required to undertake and successfully pass an Irish language assessment prior to any offer of appointment. </w:t>
      </w:r>
    </w:p>
    <w:p w14:paraId="0E2ACF91" w14:textId="131A6212" w:rsidR="00BA78AA" w:rsidRPr="00132534" w:rsidRDefault="00BA78AA" w:rsidP="0099030A">
      <w:pPr>
        <w:spacing w:line="276" w:lineRule="auto"/>
        <w:jc w:val="both"/>
        <w:rPr>
          <w:rFonts w:ascii="Calibri" w:eastAsia="Calibri" w:hAnsi="Calibri" w:cs="Calibri"/>
          <w:sz w:val="24"/>
          <w:szCs w:val="24"/>
          <w:highlight w:val="yellow"/>
          <w:lang w:val="en-GB"/>
        </w:rPr>
      </w:pPr>
    </w:p>
    <w:p w14:paraId="36DA2F4E" w14:textId="604690B8"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b/>
          <w:bCs/>
          <w:sz w:val="24"/>
          <w:szCs w:val="24"/>
          <w:highlight w:val="yellow"/>
        </w:rPr>
        <w:t>Other: </w:t>
      </w:r>
      <w:r w:rsidRPr="00132534">
        <w:rPr>
          <w:rFonts w:ascii="Calibri" w:eastAsia="Calibri" w:hAnsi="Calibri" w:cs="Calibri"/>
          <w:sz w:val="24"/>
          <w:szCs w:val="24"/>
          <w:highlight w:val="yellow"/>
        </w:rPr>
        <w:t> </w:t>
      </w:r>
    </w:p>
    <w:p w14:paraId="4ECEF545" w14:textId="5C424309" w:rsidR="00837CE0" w:rsidRPr="00132534" w:rsidRDefault="0027133F" w:rsidP="0099030A">
      <w:pPr>
        <w:spacing w:line="27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Please confirm if </w:t>
      </w:r>
      <w:r w:rsidR="00F816BC">
        <w:rPr>
          <w:rFonts w:ascii="Calibri" w:eastAsia="Calibri" w:hAnsi="Calibri" w:cs="Calibri"/>
          <w:sz w:val="24"/>
          <w:szCs w:val="24"/>
          <w:highlight w:val="yellow"/>
        </w:rPr>
        <w:t>your role requires</w:t>
      </w:r>
      <w:r w:rsidR="00837CE0" w:rsidRPr="00132534">
        <w:rPr>
          <w:rFonts w:ascii="Calibri" w:eastAsia="Calibri" w:hAnsi="Calibri" w:cs="Calibri"/>
          <w:sz w:val="24"/>
          <w:szCs w:val="24"/>
          <w:highlight w:val="yellow"/>
        </w:rPr>
        <w:t xml:space="preserve"> flexibility</w:t>
      </w:r>
      <w:r w:rsidR="005E143C">
        <w:rPr>
          <w:rFonts w:ascii="Calibri" w:eastAsia="Calibri" w:hAnsi="Calibri" w:cs="Calibri"/>
          <w:sz w:val="24"/>
          <w:szCs w:val="24"/>
          <w:highlight w:val="yellow"/>
        </w:rPr>
        <w:t xml:space="preserve"> such as</w:t>
      </w:r>
      <w:r w:rsidR="00837CE0" w:rsidRPr="00132534">
        <w:rPr>
          <w:rFonts w:ascii="Calibri" w:eastAsia="Calibri" w:hAnsi="Calibri" w:cs="Calibri"/>
          <w:sz w:val="24"/>
          <w:szCs w:val="24"/>
          <w:highlight w:val="yellow"/>
        </w:rPr>
        <w:t xml:space="preserve"> restricted leave periods at particular times of the year in line with service needs</w:t>
      </w:r>
      <w:r w:rsidR="005E143C">
        <w:rPr>
          <w:rFonts w:ascii="Calibri" w:eastAsia="Calibri" w:hAnsi="Calibri" w:cs="Calibri"/>
          <w:sz w:val="24"/>
          <w:szCs w:val="24"/>
          <w:highlight w:val="yellow"/>
        </w:rPr>
        <w:t xml:space="preserve"> etc</w:t>
      </w:r>
      <w:r w:rsidR="00837CE0" w:rsidRPr="00132534">
        <w:rPr>
          <w:rFonts w:ascii="Calibri" w:eastAsia="Calibri" w:hAnsi="Calibri" w:cs="Calibri"/>
          <w:sz w:val="24"/>
          <w:szCs w:val="24"/>
          <w:highlight w:val="yellow"/>
        </w:rPr>
        <w:t>. </w:t>
      </w:r>
    </w:p>
    <w:p w14:paraId="74A42D1B" w14:textId="77777777" w:rsidR="00837CE0" w:rsidRPr="00132534" w:rsidRDefault="00837CE0" w:rsidP="0099030A">
      <w:pPr>
        <w:spacing w:line="276" w:lineRule="auto"/>
        <w:jc w:val="both"/>
        <w:rPr>
          <w:rFonts w:ascii="Calibri" w:eastAsia="Calibri" w:hAnsi="Calibri" w:cs="Calibri"/>
          <w:sz w:val="24"/>
          <w:szCs w:val="24"/>
          <w:highlight w:val="yellow"/>
        </w:rPr>
      </w:pPr>
      <w:r w:rsidRPr="00132534">
        <w:rPr>
          <w:rFonts w:ascii="Calibri" w:eastAsia="Calibri" w:hAnsi="Calibri" w:cs="Calibri"/>
          <w:sz w:val="24"/>
          <w:szCs w:val="24"/>
          <w:highlight w:val="yellow"/>
        </w:rPr>
        <w:t>Some posts may require specialised, role-specific skills or experience. In such cases, applicants will be notified at the job offer stage and may be invited to provide additional information or evidence to demonstrate that they meet the specific requirements of the role. Candidates may also be required to undergo further assessment to confirm suitability.  </w:t>
      </w:r>
    </w:p>
    <w:p w14:paraId="59636B3B" w14:textId="77777777" w:rsidR="00837CE0" w:rsidRPr="0099030A" w:rsidRDefault="00837CE0" w:rsidP="0099030A">
      <w:pPr>
        <w:spacing w:line="276" w:lineRule="auto"/>
        <w:jc w:val="both"/>
        <w:rPr>
          <w:rFonts w:ascii="Calibri" w:eastAsia="Calibri" w:hAnsi="Calibri" w:cs="Calibri"/>
          <w:sz w:val="24"/>
          <w:szCs w:val="24"/>
        </w:rPr>
      </w:pPr>
      <w:r w:rsidRPr="00132534">
        <w:rPr>
          <w:rFonts w:ascii="Calibri" w:eastAsia="Calibri" w:hAnsi="Calibri" w:cs="Calibri"/>
          <w:sz w:val="24"/>
          <w:szCs w:val="24"/>
          <w:highlight w:val="yellow"/>
        </w:rPr>
        <w:t>Applicants may also be required to undertake role-related assessments (e.g. IT proficiency tests, ability tests, or other relevant evaluations). Where such assessments apply, participation and successful completion will be mandatory prior to any offer of appointment.</w:t>
      </w:r>
      <w:r w:rsidRPr="0099030A">
        <w:rPr>
          <w:rFonts w:ascii="Calibri" w:eastAsia="Calibri" w:hAnsi="Calibri" w:cs="Calibri"/>
          <w:sz w:val="24"/>
          <w:szCs w:val="24"/>
        </w:rPr>
        <w:t> </w:t>
      </w:r>
    </w:p>
    <w:p w14:paraId="56158B2D" w14:textId="77777777" w:rsidR="00837CE0" w:rsidRPr="0099030A" w:rsidRDefault="00837CE0" w:rsidP="0099030A">
      <w:pPr>
        <w:spacing w:line="276" w:lineRule="auto"/>
        <w:jc w:val="both"/>
        <w:rPr>
          <w:rFonts w:ascii="Calibri" w:eastAsia="Calibri" w:hAnsi="Calibri" w:cs="Calibri"/>
          <w:sz w:val="24"/>
          <w:szCs w:val="24"/>
        </w:rPr>
      </w:pPr>
      <w:r w:rsidRPr="0099030A">
        <w:rPr>
          <w:rFonts w:ascii="Calibri" w:eastAsia="Calibri" w:hAnsi="Calibri" w:cs="Calibri"/>
          <w:sz w:val="24"/>
          <w:szCs w:val="24"/>
        </w:rPr>
        <w:t> </w:t>
      </w:r>
    </w:p>
    <w:p w14:paraId="4102834C" w14:textId="77777777" w:rsidR="00337799" w:rsidRDefault="00337799" w:rsidP="00132534">
      <w:pPr>
        <w:spacing w:after="297" w:line="276" w:lineRule="auto"/>
        <w:ind w:right="86"/>
        <w:jc w:val="both"/>
        <w:rPr>
          <w:rFonts w:eastAsia="Inter" w:cstheme="minorHAnsi"/>
          <w:b/>
          <w:bCs/>
          <w:sz w:val="24"/>
          <w:szCs w:val="24"/>
        </w:rPr>
      </w:pPr>
    </w:p>
    <w:p w14:paraId="2CFDC4B8" w14:textId="77777777" w:rsidR="00337799" w:rsidRDefault="00337799" w:rsidP="00132534">
      <w:pPr>
        <w:spacing w:after="297" w:line="276" w:lineRule="auto"/>
        <w:ind w:right="86"/>
        <w:jc w:val="both"/>
        <w:rPr>
          <w:rFonts w:eastAsia="Inter" w:cstheme="minorHAnsi"/>
          <w:b/>
          <w:bCs/>
          <w:sz w:val="24"/>
          <w:szCs w:val="24"/>
        </w:rPr>
      </w:pPr>
    </w:p>
    <w:p w14:paraId="61C88BA2" w14:textId="77777777" w:rsidR="00337799" w:rsidRDefault="00337799">
      <w:pPr>
        <w:rPr>
          <w:rFonts w:eastAsia="Inter" w:cstheme="minorHAnsi"/>
          <w:b/>
          <w:bCs/>
          <w:sz w:val="24"/>
          <w:szCs w:val="24"/>
        </w:rPr>
      </w:pPr>
      <w:r>
        <w:rPr>
          <w:rFonts w:eastAsia="Inter" w:cstheme="minorHAnsi"/>
          <w:b/>
          <w:bCs/>
          <w:sz w:val="24"/>
          <w:szCs w:val="24"/>
        </w:rPr>
        <w:br w:type="page"/>
      </w:r>
    </w:p>
    <w:p w14:paraId="38FF8522" w14:textId="1E70A076" w:rsidR="00132534" w:rsidRPr="00337799" w:rsidRDefault="00132534" w:rsidP="00132534">
      <w:pPr>
        <w:spacing w:after="297" w:line="276" w:lineRule="auto"/>
        <w:ind w:right="86"/>
        <w:jc w:val="both"/>
        <w:rPr>
          <w:rFonts w:ascii="Calibri" w:eastAsia="Inter" w:hAnsi="Calibri" w:cs="Calibri"/>
          <w:b/>
          <w:bCs/>
          <w:sz w:val="24"/>
          <w:szCs w:val="24"/>
        </w:rPr>
      </w:pPr>
      <w:r w:rsidRPr="00337799">
        <w:rPr>
          <w:rFonts w:ascii="Calibri" w:eastAsia="Inter" w:hAnsi="Calibri" w:cs="Calibri"/>
          <w:b/>
          <w:bCs/>
          <w:sz w:val="24"/>
          <w:szCs w:val="24"/>
        </w:rPr>
        <w:t>Application</w:t>
      </w:r>
    </w:p>
    <w:p w14:paraId="3DA34823"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A.</w:t>
      </w:r>
      <w:r w:rsidRPr="00337799">
        <w:rPr>
          <w:rFonts w:ascii="Calibri" w:eastAsia="Inter" w:hAnsi="Calibri" w:cs="Calibri"/>
          <w:b/>
          <w:bCs/>
          <w:sz w:val="24"/>
          <w:szCs w:val="24"/>
        </w:rPr>
        <w:tab/>
        <w:t>Incentivised Scheme for Early Retirement (ISER):</w:t>
      </w:r>
    </w:p>
    <w:p w14:paraId="3C1337F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It is a condition of the Incentivised Scheme for Early Retirement (ISER) as set out in Department of Finance Circular 12/09 that retirees, under that scheme, are debarred from applying for another position in the same employment or the same sector.  Therefore, such retirees are ineligible to apply for this position.</w:t>
      </w:r>
    </w:p>
    <w:p w14:paraId="4855C821"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B.</w:t>
      </w:r>
      <w:r w:rsidRPr="00337799">
        <w:rPr>
          <w:rFonts w:ascii="Calibri" w:eastAsia="Inter" w:hAnsi="Calibri" w:cs="Calibri"/>
          <w:b/>
          <w:bCs/>
          <w:sz w:val="24"/>
          <w:szCs w:val="24"/>
        </w:rPr>
        <w:tab/>
        <w:t>Pension Entitlements:</w:t>
      </w:r>
    </w:p>
    <w:p w14:paraId="1DEB80F1"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This is a pensionable position. Details of the applicable Pension Scheme will be provided to the successful candidate. The Pension element of this appointment is subject to the terms and conditions of the Pension scheme currently in force within the University. This Scheme may be amended or revised by the Irish Government or its agents at any time. </w:t>
      </w:r>
    </w:p>
    <w:p w14:paraId="6EBE670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The Public Service Superannuation (Miscellaneous Provisions) Act 2004 set a minimum retirement age of 65 and removed the upper compulsory retirement age for certain New Entrants to the Public Sector on or after 1 April 2004. Effective from 1st January 2013, The Single Public Service Scheme applies to all first-time new entrants to the public service, as well as to former public servants returning to the public service after a break of more than 26 weeks. Compulsory retirement age will be 70. </w:t>
      </w:r>
    </w:p>
    <w:p w14:paraId="19846532"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bookmarkStart w:id="0" w:name="_Hlk215735533"/>
      <w:r w:rsidRPr="00337799">
        <w:rPr>
          <w:rFonts w:ascii="Calibri" w:eastAsia="Inter" w:hAnsi="Calibri" w:cs="Calibri"/>
          <w:b/>
          <w:bCs/>
          <w:sz w:val="24"/>
          <w:szCs w:val="24"/>
        </w:rPr>
        <w:t>C.</w:t>
      </w:r>
      <w:r w:rsidRPr="00337799">
        <w:rPr>
          <w:rFonts w:ascii="Calibri" w:eastAsia="Inter" w:hAnsi="Calibri" w:cs="Calibri"/>
          <w:b/>
          <w:bCs/>
          <w:sz w:val="24"/>
          <w:szCs w:val="24"/>
        </w:rPr>
        <w:tab/>
        <w:t>Collective Agreement: Redundancy Payments to Public Servants:</w:t>
      </w:r>
    </w:p>
    <w:p w14:paraId="072AF23B"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The Department of Public Expenditure and Reform letter dated 28th June 2012 to Personnel Officers introduced, with effect from 1st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159B645A"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Please refer to Revenue circular </w:t>
      </w:r>
      <w:hyperlink r:id="rId10" w:history="1">
        <w:r w:rsidRPr="00337799">
          <w:rPr>
            <w:rStyle w:val="Hyperlink"/>
            <w:rFonts w:ascii="Calibri" w:eastAsia="Inter" w:hAnsi="Calibri" w:cs="Calibri"/>
            <w:sz w:val="24"/>
            <w:szCs w:val="24"/>
          </w:rPr>
          <w:t>https://www.revenue.ie/en/tax-professionals/tdm/income-tax-capital-gains-tax-corporation-tax/part-05/05-05-19.pdf</w:t>
        </w:r>
      </w:hyperlink>
      <w:r w:rsidRPr="00337799">
        <w:rPr>
          <w:rFonts w:ascii="Calibri" w:eastAsia="Inter" w:hAnsi="Calibri" w:cs="Calibri"/>
          <w:sz w:val="24"/>
          <w:szCs w:val="24"/>
        </w:rPr>
        <w:t xml:space="preserve"> for information on revised tax arrangements which may apply on rehire if you have previously received a redundancy payment from University of Galway.</w:t>
      </w:r>
    </w:p>
    <w:bookmarkEnd w:id="0"/>
    <w:p w14:paraId="05659CE7"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D.</w:t>
      </w:r>
      <w:r w:rsidRPr="00337799">
        <w:rPr>
          <w:rFonts w:ascii="Calibri" w:eastAsia="Inter" w:hAnsi="Calibri" w:cs="Calibri"/>
          <w:b/>
          <w:bCs/>
          <w:sz w:val="24"/>
          <w:szCs w:val="24"/>
        </w:rPr>
        <w:tab/>
        <w:t xml:space="preserve">Department of Health and Children Circular (7/2010): </w:t>
      </w:r>
    </w:p>
    <w:p w14:paraId="2640F2FB"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p>
    <w:p w14:paraId="24B64F57"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E.</w:t>
      </w:r>
      <w:r w:rsidRPr="00337799">
        <w:rPr>
          <w:rFonts w:ascii="Calibri" w:eastAsia="Inter" w:hAnsi="Calibri" w:cs="Calibri"/>
          <w:b/>
          <w:bCs/>
          <w:sz w:val="24"/>
          <w:szCs w:val="24"/>
        </w:rPr>
        <w:tab/>
        <w:t>Declaration:</w:t>
      </w:r>
    </w:p>
    <w:p w14:paraId="010E936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Applicants will be required to confirm whether they have previously availed of a public service scheme of incentivised early retirement and/or the collective agreement outlined above. The above represents the main schemes and agreements restricting a candidate’s right to be re-employed in the public service. However, it is not intended to be an exhaustive list and candidates should declare details of any other exit mechanism they have availed of which restricts their right to be re-employed in the public service.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27388A64"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F.</w:t>
      </w:r>
      <w:r w:rsidRPr="00337799">
        <w:rPr>
          <w:rFonts w:ascii="Calibri" w:eastAsia="Inter" w:hAnsi="Calibri" w:cs="Calibri"/>
          <w:b/>
          <w:bCs/>
          <w:sz w:val="24"/>
          <w:szCs w:val="24"/>
        </w:rPr>
        <w:tab/>
        <w:t>Work Permits:</w:t>
      </w:r>
    </w:p>
    <w:p w14:paraId="3F21E0D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Work permits are permits which are granted to non-EU/EEA Citizens to allow them to work in Ireland legally. It's an illegal offense to work in Ireland without a work permit and both the employer and the employee are held responsible.  For more information on work permits and for future updates, visit the Enterprise, Trade and Employment website </w:t>
      </w:r>
      <w:hyperlink r:id="rId11" w:history="1">
        <w:r w:rsidRPr="00337799">
          <w:rPr>
            <w:rStyle w:val="Hyperlink"/>
            <w:rFonts w:ascii="Calibri" w:eastAsia="Inter" w:hAnsi="Calibri" w:cs="Calibri"/>
            <w:sz w:val="24"/>
            <w:szCs w:val="24"/>
          </w:rPr>
          <w:t>www.djei.ie</w:t>
        </w:r>
      </w:hyperlink>
      <w:r w:rsidRPr="00337799">
        <w:rPr>
          <w:rFonts w:ascii="Calibri" w:eastAsia="Inter" w:hAnsi="Calibri" w:cs="Calibri"/>
          <w:sz w:val="24"/>
          <w:szCs w:val="24"/>
        </w:rPr>
        <w:t xml:space="preserve">.  Please see list of ineligible categories for work permits at </w:t>
      </w:r>
      <w:hyperlink r:id="rId12" w:history="1">
        <w:r w:rsidRPr="00337799">
          <w:rPr>
            <w:rStyle w:val="Hyperlink"/>
            <w:rFonts w:ascii="Calibri" w:eastAsia="Inter" w:hAnsi="Calibri" w:cs="Calibri"/>
            <w:sz w:val="24"/>
            <w:szCs w:val="24"/>
          </w:rPr>
          <w:t>https://dbei.gov.ie/en/What-We-Do/Workplace-and-Skills/Employment-Permits/Employment-Permit-Eligibility//</w:t>
        </w:r>
      </w:hyperlink>
      <w:r w:rsidRPr="00337799">
        <w:rPr>
          <w:rFonts w:ascii="Calibri" w:eastAsia="Inter" w:hAnsi="Calibri" w:cs="Calibri"/>
          <w:sz w:val="24"/>
          <w:szCs w:val="24"/>
        </w:rPr>
        <w:t xml:space="preserve"> </w:t>
      </w:r>
    </w:p>
    <w:p w14:paraId="11BC6F05" w14:textId="77777777" w:rsidR="00132534" w:rsidRPr="00337799" w:rsidRDefault="00132534" w:rsidP="00132534">
      <w:pPr>
        <w:spacing w:after="297" w:line="276" w:lineRule="auto"/>
        <w:ind w:right="86"/>
        <w:jc w:val="both"/>
        <w:rPr>
          <w:rFonts w:ascii="Calibri" w:eastAsia="Inter" w:hAnsi="Calibri" w:cs="Calibri"/>
          <w:b/>
          <w:bCs/>
          <w:sz w:val="24"/>
          <w:szCs w:val="24"/>
        </w:rPr>
      </w:pPr>
      <w:r w:rsidRPr="00337799">
        <w:rPr>
          <w:rFonts w:ascii="Calibri" w:eastAsia="Inter" w:hAnsi="Calibri" w:cs="Calibri"/>
          <w:b/>
          <w:bCs/>
          <w:sz w:val="24"/>
          <w:szCs w:val="24"/>
        </w:rPr>
        <w:t>Assessment Procedure</w:t>
      </w:r>
    </w:p>
    <w:p w14:paraId="04FBBDD4"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A.</w:t>
      </w:r>
      <w:r w:rsidRPr="00337799">
        <w:rPr>
          <w:rFonts w:ascii="Calibri" w:eastAsia="Inter" w:hAnsi="Calibri" w:cs="Calibri"/>
          <w:b/>
          <w:bCs/>
          <w:sz w:val="24"/>
          <w:szCs w:val="24"/>
        </w:rPr>
        <w:tab/>
        <w:t>Board of Assessors</w:t>
      </w:r>
    </w:p>
    <w:p w14:paraId="48AE2B88"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Applications will be considered by a Board of Assessors, who will shortlist and interview candidates.  All applications and other materials submitted by applicants will be treated in strict confidence by all panel members and others involved in the administration of the recruitment.  No information about the identity of applicants, or details of their applications, will be released to others, except where it is necessary as part of the selection process.    </w:t>
      </w:r>
    </w:p>
    <w:p w14:paraId="5CC8DF1D"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B.</w:t>
      </w:r>
      <w:r w:rsidRPr="00337799">
        <w:rPr>
          <w:rFonts w:ascii="Calibri" w:eastAsia="Inter" w:hAnsi="Calibri" w:cs="Calibri"/>
          <w:b/>
          <w:bCs/>
          <w:sz w:val="24"/>
          <w:szCs w:val="24"/>
        </w:rPr>
        <w:tab/>
        <w:t>Interview Dates</w:t>
      </w:r>
    </w:p>
    <w:p w14:paraId="21244C28"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Candidates will be advised of arrangements in due course.  We endeavour to give as much prior notice as possible for interview dates etc.   Candidates should make themselves available for interview and presentation on the date(s) specified by the University. </w:t>
      </w:r>
    </w:p>
    <w:p w14:paraId="088A4E3C"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Candidates who do not attend for interview or other test when and where required by the University or who do not, when requested, furnish such evidence as the University requires in regard to any matter relevant to their candidature, will have no further claim to consideration.</w:t>
      </w:r>
    </w:p>
    <w:p w14:paraId="3CE81403"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C.</w:t>
      </w:r>
      <w:r w:rsidRPr="00337799">
        <w:rPr>
          <w:rFonts w:ascii="Calibri" w:eastAsia="Inter" w:hAnsi="Calibri" w:cs="Calibri"/>
          <w:b/>
          <w:bCs/>
          <w:sz w:val="24"/>
          <w:szCs w:val="24"/>
        </w:rPr>
        <w:tab/>
        <w:t>Referees</w:t>
      </w:r>
    </w:p>
    <w:p w14:paraId="2E54841E"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Referees listed on the application form of the successful candidate will be contacted following interview, with the exception of academic posts.</w:t>
      </w:r>
    </w:p>
    <w:p w14:paraId="7B5D423F" w14:textId="77777777" w:rsidR="00132534" w:rsidRPr="00337799" w:rsidRDefault="00132534" w:rsidP="00132534">
      <w:pPr>
        <w:spacing w:after="297" w:line="276" w:lineRule="auto"/>
        <w:ind w:left="-5" w:right="86" w:hanging="10"/>
        <w:jc w:val="both"/>
        <w:rPr>
          <w:rFonts w:ascii="Calibri" w:eastAsia="Inter" w:hAnsi="Calibri" w:cs="Calibri"/>
          <w:b/>
          <w:bCs/>
          <w:sz w:val="24"/>
          <w:szCs w:val="24"/>
        </w:rPr>
      </w:pPr>
      <w:r w:rsidRPr="00337799">
        <w:rPr>
          <w:rFonts w:ascii="Calibri" w:eastAsia="Inter" w:hAnsi="Calibri" w:cs="Calibri"/>
          <w:b/>
          <w:bCs/>
          <w:sz w:val="24"/>
          <w:szCs w:val="24"/>
        </w:rPr>
        <w:t>D.</w:t>
      </w:r>
      <w:r w:rsidRPr="00337799">
        <w:rPr>
          <w:rFonts w:ascii="Calibri" w:eastAsia="Inter" w:hAnsi="Calibri" w:cs="Calibri"/>
          <w:b/>
          <w:bCs/>
          <w:sz w:val="24"/>
          <w:szCs w:val="24"/>
        </w:rPr>
        <w:tab/>
        <w:t>Offer</w:t>
      </w:r>
    </w:p>
    <w:p w14:paraId="43C35270"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 xml:space="preserve">All candidates will in due course be notified of the outcome of their application. The Human Resources Office will offer the post to the candidate appointed once the appointment has been made by the University Appointing Authority. The successful candidate will be required to submit evidence of age, original qualifications and may be required to complete a medical examination. </w:t>
      </w:r>
    </w:p>
    <w:p w14:paraId="373E6DBA" w14:textId="77777777" w:rsidR="00132534" w:rsidRPr="00337799" w:rsidRDefault="00132534" w:rsidP="00132534">
      <w:pPr>
        <w:spacing w:after="297" w:line="276" w:lineRule="auto"/>
        <w:ind w:left="-5" w:right="86" w:hanging="10"/>
        <w:jc w:val="both"/>
        <w:rPr>
          <w:rFonts w:ascii="Calibri" w:eastAsia="Inter" w:hAnsi="Calibri" w:cs="Calibri"/>
          <w:sz w:val="24"/>
          <w:szCs w:val="24"/>
        </w:rPr>
      </w:pPr>
      <w:r w:rsidRPr="00337799">
        <w:rPr>
          <w:rFonts w:ascii="Calibri" w:eastAsia="Inter" w:hAnsi="Calibri" w:cs="Calibri"/>
          <w:sz w:val="24"/>
          <w:szCs w:val="24"/>
        </w:rPr>
        <w:t>Once a conditional job offer has been made, the candidate will be asked to complete a confidential pre-employment health questionnaire that the University’s Occupational Health Service will use in order to assess medical fitness to undertake the duties of the post.  The information provided on the questionnaire will be used (i) to assess the candidates medical capability to do the job applied for; (ii) to determine whether any reasonable adjustments may be required to accommodate any disability or impairment which the candidate may have; and (iii) to ensure that none of the requirements of the job for which the candidate applied would adversely affect any pre-existing health conditions the candidate may have.</w:t>
      </w:r>
      <w:r w:rsidRPr="00337799">
        <w:rPr>
          <w:rFonts w:ascii="Calibri" w:eastAsia="Inter" w:hAnsi="Calibri" w:cs="Calibri"/>
          <w:sz w:val="24"/>
          <w:szCs w:val="24"/>
        </w:rPr>
        <w:br/>
      </w:r>
      <w:r w:rsidRPr="00337799">
        <w:rPr>
          <w:rFonts w:ascii="Calibri" w:eastAsia="Inter" w:hAnsi="Calibri" w:cs="Calibri"/>
          <w:sz w:val="24"/>
          <w:szCs w:val="24"/>
        </w:rPr>
        <w:br/>
        <w:t>Human Resources Office.</w:t>
      </w:r>
    </w:p>
    <w:p w14:paraId="710446A5" w14:textId="77777777" w:rsidR="00132534" w:rsidRPr="00572ED3" w:rsidRDefault="00132534" w:rsidP="00132534">
      <w:pPr>
        <w:spacing w:after="297" w:line="276" w:lineRule="auto"/>
        <w:ind w:left="345" w:right="86"/>
        <w:rPr>
          <w:rFonts w:eastAsia="Inter" w:cstheme="minorHAnsi"/>
          <w:sz w:val="24"/>
          <w:szCs w:val="24"/>
        </w:rPr>
      </w:pPr>
    </w:p>
    <w:p w14:paraId="138927E6" w14:textId="4C170C1F" w:rsidR="00837CE0" w:rsidRPr="0099030A" w:rsidRDefault="00837CE0" w:rsidP="0099030A">
      <w:pPr>
        <w:spacing w:line="276" w:lineRule="auto"/>
        <w:jc w:val="both"/>
        <w:rPr>
          <w:rFonts w:ascii="Calibri" w:eastAsia="Calibri" w:hAnsi="Calibri" w:cs="Calibri"/>
          <w:sz w:val="24"/>
          <w:szCs w:val="24"/>
        </w:rPr>
      </w:pPr>
    </w:p>
    <w:sectPr w:rsidR="00837CE0" w:rsidRPr="009903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52E"/>
    <w:multiLevelType w:val="multilevel"/>
    <w:tmpl w:val="6C22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CF679"/>
    <w:multiLevelType w:val="hybridMultilevel"/>
    <w:tmpl w:val="50B4684C"/>
    <w:lvl w:ilvl="0" w:tplc="8C9E213E">
      <w:start w:val="2"/>
      <w:numFmt w:val="decimal"/>
      <w:lvlText w:val="%1."/>
      <w:lvlJc w:val="left"/>
      <w:pPr>
        <w:ind w:left="720" w:hanging="360"/>
      </w:pPr>
      <w:rPr>
        <w:b/>
        <w:bCs/>
      </w:rPr>
    </w:lvl>
    <w:lvl w:ilvl="1" w:tplc="06E0FD66">
      <w:start w:val="1"/>
      <w:numFmt w:val="lowerLetter"/>
      <w:lvlText w:val="%2."/>
      <w:lvlJc w:val="left"/>
      <w:pPr>
        <w:ind w:left="1440" w:hanging="360"/>
      </w:pPr>
    </w:lvl>
    <w:lvl w:ilvl="2" w:tplc="C7687B72">
      <w:start w:val="1"/>
      <w:numFmt w:val="lowerRoman"/>
      <w:lvlText w:val="%3."/>
      <w:lvlJc w:val="right"/>
      <w:pPr>
        <w:ind w:left="2160" w:hanging="180"/>
      </w:pPr>
    </w:lvl>
    <w:lvl w:ilvl="3" w:tplc="2BB66782">
      <w:start w:val="1"/>
      <w:numFmt w:val="decimal"/>
      <w:lvlText w:val="%4."/>
      <w:lvlJc w:val="left"/>
      <w:pPr>
        <w:ind w:left="2880" w:hanging="360"/>
      </w:pPr>
    </w:lvl>
    <w:lvl w:ilvl="4" w:tplc="3D403208">
      <w:start w:val="1"/>
      <w:numFmt w:val="lowerLetter"/>
      <w:lvlText w:val="%5."/>
      <w:lvlJc w:val="left"/>
      <w:pPr>
        <w:ind w:left="3600" w:hanging="360"/>
      </w:pPr>
    </w:lvl>
    <w:lvl w:ilvl="5" w:tplc="D0748FFC">
      <w:start w:val="1"/>
      <w:numFmt w:val="lowerRoman"/>
      <w:lvlText w:val="%6."/>
      <w:lvlJc w:val="right"/>
      <w:pPr>
        <w:ind w:left="4320" w:hanging="180"/>
      </w:pPr>
    </w:lvl>
    <w:lvl w:ilvl="6" w:tplc="359A9CAE">
      <w:start w:val="1"/>
      <w:numFmt w:val="decimal"/>
      <w:lvlText w:val="%7."/>
      <w:lvlJc w:val="left"/>
      <w:pPr>
        <w:ind w:left="5040" w:hanging="360"/>
      </w:pPr>
    </w:lvl>
    <w:lvl w:ilvl="7" w:tplc="54F80214">
      <w:start w:val="1"/>
      <w:numFmt w:val="lowerLetter"/>
      <w:lvlText w:val="%8."/>
      <w:lvlJc w:val="left"/>
      <w:pPr>
        <w:ind w:left="5760" w:hanging="360"/>
      </w:pPr>
    </w:lvl>
    <w:lvl w:ilvl="8" w:tplc="3A785634">
      <w:start w:val="1"/>
      <w:numFmt w:val="lowerRoman"/>
      <w:lvlText w:val="%9."/>
      <w:lvlJc w:val="right"/>
      <w:pPr>
        <w:ind w:left="6480" w:hanging="180"/>
      </w:pPr>
    </w:lvl>
  </w:abstractNum>
  <w:abstractNum w:abstractNumId="2" w15:restartNumberingAfterBreak="0">
    <w:nsid w:val="1F0548AD"/>
    <w:multiLevelType w:val="multilevel"/>
    <w:tmpl w:val="93AC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A6115E"/>
    <w:multiLevelType w:val="multilevel"/>
    <w:tmpl w:val="C73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97841"/>
    <w:multiLevelType w:val="multilevel"/>
    <w:tmpl w:val="3032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C4397"/>
    <w:multiLevelType w:val="multilevel"/>
    <w:tmpl w:val="7F9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7C7750"/>
    <w:multiLevelType w:val="multilevel"/>
    <w:tmpl w:val="21D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943D7"/>
    <w:multiLevelType w:val="multilevel"/>
    <w:tmpl w:val="A49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166FE7"/>
    <w:multiLevelType w:val="multilevel"/>
    <w:tmpl w:val="7DC6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61437"/>
    <w:multiLevelType w:val="multilevel"/>
    <w:tmpl w:val="644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170391"/>
    <w:multiLevelType w:val="multilevel"/>
    <w:tmpl w:val="068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FE0762"/>
    <w:multiLevelType w:val="multilevel"/>
    <w:tmpl w:val="DAA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8366B9"/>
    <w:multiLevelType w:val="multilevel"/>
    <w:tmpl w:val="34E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8C3090"/>
    <w:multiLevelType w:val="multilevel"/>
    <w:tmpl w:val="76A0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C8B591"/>
    <w:multiLevelType w:val="hybridMultilevel"/>
    <w:tmpl w:val="FFFFFFFF"/>
    <w:lvl w:ilvl="0" w:tplc="B1B4F884">
      <w:start w:val="1"/>
      <w:numFmt w:val="decimal"/>
      <w:lvlText w:val="%1."/>
      <w:lvlJc w:val="left"/>
      <w:pPr>
        <w:ind w:left="720" w:hanging="360"/>
      </w:pPr>
    </w:lvl>
    <w:lvl w:ilvl="1" w:tplc="71E610AA">
      <w:start w:val="1"/>
      <w:numFmt w:val="lowerLetter"/>
      <w:lvlText w:val="%2."/>
      <w:lvlJc w:val="left"/>
      <w:pPr>
        <w:ind w:left="1440" w:hanging="360"/>
      </w:pPr>
    </w:lvl>
    <w:lvl w:ilvl="2" w:tplc="933276F8">
      <w:start w:val="1"/>
      <w:numFmt w:val="lowerRoman"/>
      <w:lvlText w:val="%3."/>
      <w:lvlJc w:val="right"/>
      <w:pPr>
        <w:ind w:left="2160" w:hanging="180"/>
      </w:pPr>
    </w:lvl>
    <w:lvl w:ilvl="3" w:tplc="7E5E46E4">
      <w:start w:val="1"/>
      <w:numFmt w:val="decimal"/>
      <w:lvlText w:val="%4."/>
      <w:lvlJc w:val="left"/>
      <w:pPr>
        <w:ind w:left="2880" w:hanging="360"/>
      </w:pPr>
    </w:lvl>
    <w:lvl w:ilvl="4" w:tplc="19F8821C">
      <w:start w:val="1"/>
      <w:numFmt w:val="lowerLetter"/>
      <w:lvlText w:val="%5."/>
      <w:lvlJc w:val="left"/>
      <w:pPr>
        <w:ind w:left="3600" w:hanging="360"/>
      </w:pPr>
    </w:lvl>
    <w:lvl w:ilvl="5" w:tplc="DCC032D0">
      <w:start w:val="1"/>
      <w:numFmt w:val="lowerRoman"/>
      <w:lvlText w:val="%6."/>
      <w:lvlJc w:val="right"/>
      <w:pPr>
        <w:ind w:left="4320" w:hanging="180"/>
      </w:pPr>
    </w:lvl>
    <w:lvl w:ilvl="6" w:tplc="9D0C489A">
      <w:start w:val="1"/>
      <w:numFmt w:val="decimal"/>
      <w:lvlText w:val="%7."/>
      <w:lvlJc w:val="left"/>
      <w:pPr>
        <w:ind w:left="5040" w:hanging="360"/>
      </w:pPr>
    </w:lvl>
    <w:lvl w:ilvl="7" w:tplc="B6EC0252">
      <w:start w:val="1"/>
      <w:numFmt w:val="lowerLetter"/>
      <w:lvlText w:val="%8."/>
      <w:lvlJc w:val="left"/>
      <w:pPr>
        <w:ind w:left="5760" w:hanging="360"/>
      </w:pPr>
    </w:lvl>
    <w:lvl w:ilvl="8" w:tplc="4784EDB0">
      <w:start w:val="1"/>
      <w:numFmt w:val="lowerRoman"/>
      <w:lvlText w:val="%9."/>
      <w:lvlJc w:val="right"/>
      <w:pPr>
        <w:ind w:left="6480" w:hanging="180"/>
      </w:pPr>
    </w:lvl>
  </w:abstractNum>
  <w:abstractNum w:abstractNumId="15" w15:restartNumberingAfterBreak="0">
    <w:nsid w:val="6CF244E9"/>
    <w:multiLevelType w:val="hybridMultilevel"/>
    <w:tmpl w:val="19866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FCA0978"/>
    <w:multiLevelType w:val="hybridMultilevel"/>
    <w:tmpl w:val="FFFFFFFF"/>
    <w:lvl w:ilvl="0" w:tplc="5F56C7CA">
      <w:start w:val="4"/>
      <w:numFmt w:val="decimal"/>
      <w:lvlText w:val="%1."/>
      <w:lvlJc w:val="left"/>
      <w:pPr>
        <w:ind w:left="720" w:hanging="360"/>
      </w:pPr>
    </w:lvl>
    <w:lvl w:ilvl="1" w:tplc="124C5560">
      <w:start w:val="1"/>
      <w:numFmt w:val="lowerLetter"/>
      <w:lvlText w:val="%2."/>
      <w:lvlJc w:val="left"/>
      <w:pPr>
        <w:ind w:left="1440" w:hanging="360"/>
      </w:pPr>
    </w:lvl>
    <w:lvl w:ilvl="2" w:tplc="CB727438">
      <w:start w:val="1"/>
      <w:numFmt w:val="lowerRoman"/>
      <w:lvlText w:val="%3."/>
      <w:lvlJc w:val="right"/>
      <w:pPr>
        <w:ind w:left="2160" w:hanging="180"/>
      </w:pPr>
    </w:lvl>
    <w:lvl w:ilvl="3" w:tplc="05DAEEE2">
      <w:start w:val="1"/>
      <w:numFmt w:val="decimal"/>
      <w:lvlText w:val="%4."/>
      <w:lvlJc w:val="left"/>
      <w:pPr>
        <w:ind w:left="2880" w:hanging="360"/>
      </w:pPr>
    </w:lvl>
    <w:lvl w:ilvl="4" w:tplc="129423AC">
      <w:start w:val="1"/>
      <w:numFmt w:val="lowerLetter"/>
      <w:lvlText w:val="%5."/>
      <w:lvlJc w:val="left"/>
      <w:pPr>
        <w:ind w:left="3600" w:hanging="360"/>
      </w:pPr>
    </w:lvl>
    <w:lvl w:ilvl="5" w:tplc="D1C2A8FA">
      <w:start w:val="1"/>
      <w:numFmt w:val="lowerRoman"/>
      <w:lvlText w:val="%6."/>
      <w:lvlJc w:val="right"/>
      <w:pPr>
        <w:ind w:left="4320" w:hanging="180"/>
      </w:pPr>
    </w:lvl>
    <w:lvl w:ilvl="6" w:tplc="1C543A94">
      <w:start w:val="1"/>
      <w:numFmt w:val="decimal"/>
      <w:lvlText w:val="%7."/>
      <w:lvlJc w:val="left"/>
      <w:pPr>
        <w:ind w:left="5040" w:hanging="360"/>
      </w:pPr>
    </w:lvl>
    <w:lvl w:ilvl="7" w:tplc="ADDE8F2C">
      <w:start w:val="1"/>
      <w:numFmt w:val="lowerLetter"/>
      <w:lvlText w:val="%8."/>
      <w:lvlJc w:val="left"/>
      <w:pPr>
        <w:ind w:left="5760" w:hanging="360"/>
      </w:pPr>
    </w:lvl>
    <w:lvl w:ilvl="8" w:tplc="0B3EBB04">
      <w:start w:val="1"/>
      <w:numFmt w:val="lowerRoman"/>
      <w:lvlText w:val="%9."/>
      <w:lvlJc w:val="right"/>
      <w:pPr>
        <w:ind w:left="6480" w:hanging="180"/>
      </w:pPr>
    </w:lvl>
  </w:abstractNum>
  <w:abstractNum w:abstractNumId="17" w15:restartNumberingAfterBreak="0">
    <w:nsid w:val="70134602"/>
    <w:multiLevelType w:val="multilevel"/>
    <w:tmpl w:val="EA32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104E5"/>
    <w:multiLevelType w:val="multilevel"/>
    <w:tmpl w:val="EFC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55C12"/>
    <w:multiLevelType w:val="multilevel"/>
    <w:tmpl w:val="BB3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10E31"/>
    <w:multiLevelType w:val="multilevel"/>
    <w:tmpl w:val="6522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7EE1C"/>
    <w:multiLevelType w:val="hybridMultilevel"/>
    <w:tmpl w:val="C3D42E40"/>
    <w:lvl w:ilvl="0" w:tplc="AC18C076">
      <w:start w:val="3"/>
      <w:numFmt w:val="decimal"/>
      <w:lvlText w:val="%1."/>
      <w:lvlJc w:val="left"/>
      <w:pPr>
        <w:ind w:left="720" w:hanging="360"/>
      </w:pPr>
      <w:rPr>
        <w:b/>
        <w:bCs/>
      </w:rPr>
    </w:lvl>
    <w:lvl w:ilvl="1" w:tplc="0F80F9D2">
      <w:start w:val="1"/>
      <w:numFmt w:val="lowerLetter"/>
      <w:lvlText w:val="%2."/>
      <w:lvlJc w:val="left"/>
      <w:pPr>
        <w:ind w:left="1440" w:hanging="360"/>
      </w:pPr>
    </w:lvl>
    <w:lvl w:ilvl="2" w:tplc="7C1EE7EC">
      <w:start w:val="1"/>
      <w:numFmt w:val="lowerRoman"/>
      <w:lvlText w:val="%3."/>
      <w:lvlJc w:val="right"/>
      <w:pPr>
        <w:ind w:left="2160" w:hanging="180"/>
      </w:pPr>
    </w:lvl>
    <w:lvl w:ilvl="3" w:tplc="CA468926">
      <w:start w:val="1"/>
      <w:numFmt w:val="decimal"/>
      <w:lvlText w:val="%4."/>
      <w:lvlJc w:val="left"/>
      <w:pPr>
        <w:ind w:left="2880" w:hanging="360"/>
      </w:pPr>
    </w:lvl>
    <w:lvl w:ilvl="4" w:tplc="F400277E">
      <w:start w:val="1"/>
      <w:numFmt w:val="lowerLetter"/>
      <w:lvlText w:val="%5."/>
      <w:lvlJc w:val="left"/>
      <w:pPr>
        <w:ind w:left="3600" w:hanging="360"/>
      </w:pPr>
    </w:lvl>
    <w:lvl w:ilvl="5" w:tplc="8AF2EB32">
      <w:start w:val="1"/>
      <w:numFmt w:val="lowerRoman"/>
      <w:lvlText w:val="%6."/>
      <w:lvlJc w:val="right"/>
      <w:pPr>
        <w:ind w:left="4320" w:hanging="180"/>
      </w:pPr>
    </w:lvl>
    <w:lvl w:ilvl="6" w:tplc="9B6AD7CE">
      <w:start w:val="1"/>
      <w:numFmt w:val="decimal"/>
      <w:lvlText w:val="%7."/>
      <w:lvlJc w:val="left"/>
      <w:pPr>
        <w:ind w:left="5040" w:hanging="360"/>
      </w:pPr>
    </w:lvl>
    <w:lvl w:ilvl="7" w:tplc="899A61AC">
      <w:start w:val="1"/>
      <w:numFmt w:val="lowerLetter"/>
      <w:lvlText w:val="%8."/>
      <w:lvlJc w:val="left"/>
      <w:pPr>
        <w:ind w:left="5760" w:hanging="360"/>
      </w:pPr>
    </w:lvl>
    <w:lvl w:ilvl="8" w:tplc="6A06096E">
      <w:start w:val="1"/>
      <w:numFmt w:val="lowerRoman"/>
      <w:lvlText w:val="%9."/>
      <w:lvlJc w:val="right"/>
      <w:pPr>
        <w:ind w:left="6480" w:hanging="180"/>
      </w:pPr>
    </w:lvl>
  </w:abstractNum>
  <w:num w:numId="1" w16cid:durableId="1155074679">
    <w:abstractNumId w:val="16"/>
  </w:num>
  <w:num w:numId="2" w16cid:durableId="1191646748">
    <w:abstractNumId w:val="9"/>
  </w:num>
  <w:num w:numId="3" w16cid:durableId="1244679432">
    <w:abstractNumId w:val="0"/>
  </w:num>
  <w:num w:numId="4" w16cid:durableId="1404446194">
    <w:abstractNumId w:val="19"/>
  </w:num>
  <w:num w:numId="5" w16cid:durableId="1999721242">
    <w:abstractNumId w:val="5"/>
  </w:num>
  <w:num w:numId="6" w16cid:durableId="206990061">
    <w:abstractNumId w:val="10"/>
  </w:num>
  <w:num w:numId="7" w16cid:durableId="20713657">
    <w:abstractNumId w:val="6"/>
  </w:num>
  <w:num w:numId="8" w16cid:durableId="337773586">
    <w:abstractNumId w:val="8"/>
  </w:num>
  <w:num w:numId="9" w16cid:durableId="347173701">
    <w:abstractNumId w:val="14"/>
  </w:num>
  <w:num w:numId="10" w16cid:durableId="409354134">
    <w:abstractNumId w:val="20"/>
  </w:num>
  <w:num w:numId="11" w16cid:durableId="445975794">
    <w:abstractNumId w:val="7"/>
  </w:num>
  <w:num w:numId="12" w16cid:durableId="474492844">
    <w:abstractNumId w:val="1"/>
  </w:num>
  <w:num w:numId="13" w16cid:durableId="507986432">
    <w:abstractNumId w:val="17"/>
  </w:num>
  <w:num w:numId="14" w16cid:durableId="64114764">
    <w:abstractNumId w:val="3"/>
  </w:num>
  <w:num w:numId="15" w16cid:durableId="647710810">
    <w:abstractNumId w:val="2"/>
  </w:num>
  <w:num w:numId="16" w16cid:durableId="723454187">
    <w:abstractNumId w:val="13"/>
  </w:num>
  <w:num w:numId="17" w16cid:durableId="736588253">
    <w:abstractNumId w:val="11"/>
  </w:num>
  <w:num w:numId="18" w16cid:durableId="766847139">
    <w:abstractNumId w:val="18"/>
  </w:num>
  <w:num w:numId="19" w16cid:durableId="950432504">
    <w:abstractNumId w:val="4"/>
  </w:num>
  <w:num w:numId="20" w16cid:durableId="967009203">
    <w:abstractNumId w:val="21"/>
  </w:num>
  <w:num w:numId="21" w16cid:durableId="994919447">
    <w:abstractNumId w:val="12"/>
  </w:num>
  <w:num w:numId="22" w16cid:durableId="154155537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0"/>
    <w:rsid w:val="0000444A"/>
    <w:rsid w:val="00010728"/>
    <w:rsid w:val="000256F9"/>
    <w:rsid w:val="00026EBC"/>
    <w:rsid w:val="0002E0CC"/>
    <w:rsid w:val="000305B4"/>
    <w:rsid w:val="00030E6B"/>
    <w:rsid w:val="000409DE"/>
    <w:rsid w:val="0004170D"/>
    <w:rsid w:val="00044655"/>
    <w:rsid w:val="00047AE6"/>
    <w:rsid w:val="0005643B"/>
    <w:rsid w:val="0006750C"/>
    <w:rsid w:val="00067F34"/>
    <w:rsid w:val="00092198"/>
    <w:rsid w:val="0009480B"/>
    <w:rsid w:val="000A0861"/>
    <w:rsid w:val="000A4433"/>
    <w:rsid w:val="000A506D"/>
    <w:rsid w:val="000A508D"/>
    <w:rsid w:val="000A71B8"/>
    <w:rsid w:val="000D0B39"/>
    <w:rsid w:val="000D3B82"/>
    <w:rsid w:val="000D3C4F"/>
    <w:rsid w:val="000E4C2E"/>
    <w:rsid w:val="000E5DEC"/>
    <w:rsid w:val="000F542D"/>
    <w:rsid w:val="00104B16"/>
    <w:rsid w:val="00110478"/>
    <w:rsid w:val="0011172B"/>
    <w:rsid w:val="001262A5"/>
    <w:rsid w:val="00132534"/>
    <w:rsid w:val="00135736"/>
    <w:rsid w:val="001365EB"/>
    <w:rsid w:val="001406B4"/>
    <w:rsid w:val="00146F31"/>
    <w:rsid w:val="00151815"/>
    <w:rsid w:val="0015251E"/>
    <w:rsid w:val="001665E2"/>
    <w:rsid w:val="0016662E"/>
    <w:rsid w:val="001731C8"/>
    <w:rsid w:val="001746A3"/>
    <w:rsid w:val="001834CF"/>
    <w:rsid w:val="001853BB"/>
    <w:rsid w:val="00186D26"/>
    <w:rsid w:val="001876F4"/>
    <w:rsid w:val="00191EAD"/>
    <w:rsid w:val="0019426D"/>
    <w:rsid w:val="00194863"/>
    <w:rsid w:val="00196DF7"/>
    <w:rsid w:val="001B23A8"/>
    <w:rsid w:val="001B39D0"/>
    <w:rsid w:val="001B7397"/>
    <w:rsid w:val="001C71FF"/>
    <w:rsid w:val="001D349E"/>
    <w:rsid w:val="001D7672"/>
    <w:rsid w:val="001D7E1B"/>
    <w:rsid w:val="001F6F9C"/>
    <w:rsid w:val="001F7412"/>
    <w:rsid w:val="0020063D"/>
    <w:rsid w:val="00207EFD"/>
    <w:rsid w:val="002134E4"/>
    <w:rsid w:val="0021361D"/>
    <w:rsid w:val="002268ED"/>
    <w:rsid w:val="00232671"/>
    <w:rsid w:val="00263BFB"/>
    <w:rsid w:val="002652E3"/>
    <w:rsid w:val="0027133F"/>
    <w:rsid w:val="00271E91"/>
    <w:rsid w:val="002810D5"/>
    <w:rsid w:val="002819BA"/>
    <w:rsid w:val="00290F48"/>
    <w:rsid w:val="002A0603"/>
    <w:rsid w:val="002A6336"/>
    <w:rsid w:val="002C382F"/>
    <w:rsid w:val="002C5342"/>
    <w:rsid w:val="002C7FE9"/>
    <w:rsid w:val="002D4388"/>
    <w:rsid w:val="002E5CC2"/>
    <w:rsid w:val="002E6FA7"/>
    <w:rsid w:val="002F2F6D"/>
    <w:rsid w:val="002F7C8A"/>
    <w:rsid w:val="003021A6"/>
    <w:rsid w:val="00302F38"/>
    <w:rsid w:val="00303DDA"/>
    <w:rsid w:val="003071D6"/>
    <w:rsid w:val="00311476"/>
    <w:rsid w:val="00313CCB"/>
    <w:rsid w:val="003217EB"/>
    <w:rsid w:val="003252FF"/>
    <w:rsid w:val="003271BD"/>
    <w:rsid w:val="00330F9A"/>
    <w:rsid w:val="003311A5"/>
    <w:rsid w:val="00332382"/>
    <w:rsid w:val="0033294A"/>
    <w:rsid w:val="00335B19"/>
    <w:rsid w:val="0033697D"/>
    <w:rsid w:val="00337799"/>
    <w:rsid w:val="00357DAB"/>
    <w:rsid w:val="0037294D"/>
    <w:rsid w:val="00384C8C"/>
    <w:rsid w:val="00387436"/>
    <w:rsid w:val="003954A2"/>
    <w:rsid w:val="003970F4"/>
    <w:rsid w:val="003B01D2"/>
    <w:rsid w:val="003B1E7E"/>
    <w:rsid w:val="003B33A7"/>
    <w:rsid w:val="003C3558"/>
    <w:rsid w:val="003D37C3"/>
    <w:rsid w:val="003D641C"/>
    <w:rsid w:val="003E5424"/>
    <w:rsid w:val="003F56D4"/>
    <w:rsid w:val="003F5FD4"/>
    <w:rsid w:val="003F6206"/>
    <w:rsid w:val="00412E9C"/>
    <w:rsid w:val="004422FA"/>
    <w:rsid w:val="004448D5"/>
    <w:rsid w:val="00445E17"/>
    <w:rsid w:val="00446528"/>
    <w:rsid w:val="004746EB"/>
    <w:rsid w:val="00477477"/>
    <w:rsid w:val="00493772"/>
    <w:rsid w:val="004944F5"/>
    <w:rsid w:val="00494699"/>
    <w:rsid w:val="004956BF"/>
    <w:rsid w:val="004A4957"/>
    <w:rsid w:val="004A672D"/>
    <w:rsid w:val="004A9022"/>
    <w:rsid w:val="004B78CD"/>
    <w:rsid w:val="004C3BC2"/>
    <w:rsid w:val="004C6DB8"/>
    <w:rsid w:val="004D48DC"/>
    <w:rsid w:val="004D507F"/>
    <w:rsid w:val="004E7E89"/>
    <w:rsid w:val="004F42AB"/>
    <w:rsid w:val="00500EF2"/>
    <w:rsid w:val="00501548"/>
    <w:rsid w:val="0050315D"/>
    <w:rsid w:val="00505632"/>
    <w:rsid w:val="0051517D"/>
    <w:rsid w:val="00516AE0"/>
    <w:rsid w:val="00531F0A"/>
    <w:rsid w:val="00532FA5"/>
    <w:rsid w:val="0053408A"/>
    <w:rsid w:val="005374B2"/>
    <w:rsid w:val="0054354E"/>
    <w:rsid w:val="00543896"/>
    <w:rsid w:val="0055199E"/>
    <w:rsid w:val="00553D5D"/>
    <w:rsid w:val="00560FE0"/>
    <w:rsid w:val="00561F90"/>
    <w:rsid w:val="00566537"/>
    <w:rsid w:val="0057285C"/>
    <w:rsid w:val="00576C78"/>
    <w:rsid w:val="0057781E"/>
    <w:rsid w:val="005828BB"/>
    <w:rsid w:val="00583F6D"/>
    <w:rsid w:val="00585945"/>
    <w:rsid w:val="00590323"/>
    <w:rsid w:val="00590CB6"/>
    <w:rsid w:val="005C3251"/>
    <w:rsid w:val="005D2E82"/>
    <w:rsid w:val="005D550C"/>
    <w:rsid w:val="005E0BA7"/>
    <w:rsid w:val="005E143C"/>
    <w:rsid w:val="005E1775"/>
    <w:rsid w:val="005F04C9"/>
    <w:rsid w:val="00610D10"/>
    <w:rsid w:val="00610EA0"/>
    <w:rsid w:val="006266B1"/>
    <w:rsid w:val="0063510C"/>
    <w:rsid w:val="006442D7"/>
    <w:rsid w:val="0064632A"/>
    <w:rsid w:val="0064638D"/>
    <w:rsid w:val="006469F6"/>
    <w:rsid w:val="00651B8B"/>
    <w:rsid w:val="00656C54"/>
    <w:rsid w:val="00657198"/>
    <w:rsid w:val="006644E0"/>
    <w:rsid w:val="006920D3"/>
    <w:rsid w:val="006A50F7"/>
    <w:rsid w:val="006A7C3A"/>
    <w:rsid w:val="006B71A8"/>
    <w:rsid w:val="006C1EBC"/>
    <w:rsid w:val="006C354E"/>
    <w:rsid w:val="006C5EC5"/>
    <w:rsid w:val="006E2820"/>
    <w:rsid w:val="006F3316"/>
    <w:rsid w:val="006F6774"/>
    <w:rsid w:val="007015DB"/>
    <w:rsid w:val="00704292"/>
    <w:rsid w:val="007138C3"/>
    <w:rsid w:val="007406B2"/>
    <w:rsid w:val="007417A1"/>
    <w:rsid w:val="007434B2"/>
    <w:rsid w:val="00743C30"/>
    <w:rsid w:val="0074747E"/>
    <w:rsid w:val="007508C0"/>
    <w:rsid w:val="007566BC"/>
    <w:rsid w:val="00761AEE"/>
    <w:rsid w:val="007627F8"/>
    <w:rsid w:val="007728A2"/>
    <w:rsid w:val="00772F3D"/>
    <w:rsid w:val="007804F2"/>
    <w:rsid w:val="00785E33"/>
    <w:rsid w:val="00792F98"/>
    <w:rsid w:val="00794B22"/>
    <w:rsid w:val="00795A91"/>
    <w:rsid w:val="007A05ED"/>
    <w:rsid w:val="007A1910"/>
    <w:rsid w:val="007A409D"/>
    <w:rsid w:val="007A6432"/>
    <w:rsid w:val="007A72F1"/>
    <w:rsid w:val="007B4A0E"/>
    <w:rsid w:val="007D2268"/>
    <w:rsid w:val="007D5052"/>
    <w:rsid w:val="007F4D15"/>
    <w:rsid w:val="007F64A8"/>
    <w:rsid w:val="00802AE6"/>
    <w:rsid w:val="0080414A"/>
    <w:rsid w:val="00804B3B"/>
    <w:rsid w:val="00810506"/>
    <w:rsid w:val="00820438"/>
    <w:rsid w:val="00826378"/>
    <w:rsid w:val="008273D8"/>
    <w:rsid w:val="00831988"/>
    <w:rsid w:val="00837CE0"/>
    <w:rsid w:val="00850942"/>
    <w:rsid w:val="0086241C"/>
    <w:rsid w:val="008629CE"/>
    <w:rsid w:val="0086413D"/>
    <w:rsid w:val="00877577"/>
    <w:rsid w:val="00890424"/>
    <w:rsid w:val="00895250"/>
    <w:rsid w:val="008A3801"/>
    <w:rsid w:val="008A695D"/>
    <w:rsid w:val="008B51C8"/>
    <w:rsid w:val="008D367E"/>
    <w:rsid w:val="008D4714"/>
    <w:rsid w:val="008E19D5"/>
    <w:rsid w:val="008F2B92"/>
    <w:rsid w:val="00900F6D"/>
    <w:rsid w:val="00902A5A"/>
    <w:rsid w:val="009163F1"/>
    <w:rsid w:val="00933FD6"/>
    <w:rsid w:val="00974AC2"/>
    <w:rsid w:val="00977D68"/>
    <w:rsid w:val="0099030A"/>
    <w:rsid w:val="009906B9"/>
    <w:rsid w:val="009922C4"/>
    <w:rsid w:val="00992F99"/>
    <w:rsid w:val="00997C15"/>
    <w:rsid w:val="009A336D"/>
    <w:rsid w:val="009A35AD"/>
    <w:rsid w:val="009A6146"/>
    <w:rsid w:val="009A7217"/>
    <w:rsid w:val="009B2635"/>
    <w:rsid w:val="009B6C7F"/>
    <w:rsid w:val="009C096A"/>
    <w:rsid w:val="009C45C4"/>
    <w:rsid w:val="009D091A"/>
    <w:rsid w:val="009E34A2"/>
    <w:rsid w:val="00A06BF8"/>
    <w:rsid w:val="00A26EB7"/>
    <w:rsid w:val="00A33E01"/>
    <w:rsid w:val="00A35F1C"/>
    <w:rsid w:val="00A41183"/>
    <w:rsid w:val="00A471FD"/>
    <w:rsid w:val="00A65A6E"/>
    <w:rsid w:val="00A72849"/>
    <w:rsid w:val="00A7614C"/>
    <w:rsid w:val="00A81372"/>
    <w:rsid w:val="00A8415C"/>
    <w:rsid w:val="00A84694"/>
    <w:rsid w:val="00AB6D92"/>
    <w:rsid w:val="00AC6BCA"/>
    <w:rsid w:val="00AE2FB6"/>
    <w:rsid w:val="00AE30BB"/>
    <w:rsid w:val="00AE562A"/>
    <w:rsid w:val="00B07A9C"/>
    <w:rsid w:val="00B24DB6"/>
    <w:rsid w:val="00B31C2B"/>
    <w:rsid w:val="00B4100C"/>
    <w:rsid w:val="00B44516"/>
    <w:rsid w:val="00B44946"/>
    <w:rsid w:val="00B46707"/>
    <w:rsid w:val="00B4684C"/>
    <w:rsid w:val="00B52EBF"/>
    <w:rsid w:val="00B55899"/>
    <w:rsid w:val="00B57893"/>
    <w:rsid w:val="00B663C0"/>
    <w:rsid w:val="00B70EBF"/>
    <w:rsid w:val="00B8784A"/>
    <w:rsid w:val="00BA0B2B"/>
    <w:rsid w:val="00BA241D"/>
    <w:rsid w:val="00BA78AA"/>
    <w:rsid w:val="00BB1278"/>
    <w:rsid w:val="00BB6C1A"/>
    <w:rsid w:val="00BB78B4"/>
    <w:rsid w:val="00BB7AC5"/>
    <w:rsid w:val="00BC0493"/>
    <w:rsid w:val="00BC095D"/>
    <w:rsid w:val="00BC1053"/>
    <w:rsid w:val="00BC2105"/>
    <w:rsid w:val="00BD4255"/>
    <w:rsid w:val="00BD4577"/>
    <w:rsid w:val="00BE2E44"/>
    <w:rsid w:val="00BE32F1"/>
    <w:rsid w:val="00BF70DE"/>
    <w:rsid w:val="00C00652"/>
    <w:rsid w:val="00C33E5A"/>
    <w:rsid w:val="00C349DC"/>
    <w:rsid w:val="00C3517D"/>
    <w:rsid w:val="00C61013"/>
    <w:rsid w:val="00C87336"/>
    <w:rsid w:val="00C87C4B"/>
    <w:rsid w:val="00CA076F"/>
    <w:rsid w:val="00CA26A2"/>
    <w:rsid w:val="00CB40AD"/>
    <w:rsid w:val="00CD0B0E"/>
    <w:rsid w:val="00CE73AD"/>
    <w:rsid w:val="00CF7282"/>
    <w:rsid w:val="00CF75B8"/>
    <w:rsid w:val="00D015F1"/>
    <w:rsid w:val="00D07FD7"/>
    <w:rsid w:val="00D128F9"/>
    <w:rsid w:val="00D14B67"/>
    <w:rsid w:val="00D23C02"/>
    <w:rsid w:val="00D33948"/>
    <w:rsid w:val="00D5469A"/>
    <w:rsid w:val="00D56FEA"/>
    <w:rsid w:val="00D70D85"/>
    <w:rsid w:val="00D72F2F"/>
    <w:rsid w:val="00D82E67"/>
    <w:rsid w:val="00D92994"/>
    <w:rsid w:val="00DA7BCB"/>
    <w:rsid w:val="00DB21B3"/>
    <w:rsid w:val="00DD048E"/>
    <w:rsid w:val="00DE7A48"/>
    <w:rsid w:val="00DF21DF"/>
    <w:rsid w:val="00E032B1"/>
    <w:rsid w:val="00E13F29"/>
    <w:rsid w:val="00E249E3"/>
    <w:rsid w:val="00E27176"/>
    <w:rsid w:val="00E405E5"/>
    <w:rsid w:val="00E533D0"/>
    <w:rsid w:val="00E5586C"/>
    <w:rsid w:val="00E56E4D"/>
    <w:rsid w:val="00E65F49"/>
    <w:rsid w:val="00E720C0"/>
    <w:rsid w:val="00E73F54"/>
    <w:rsid w:val="00E74F13"/>
    <w:rsid w:val="00E80B33"/>
    <w:rsid w:val="00E83EA3"/>
    <w:rsid w:val="00E97447"/>
    <w:rsid w:val="00E97F57"/>
    <w:rsid w:val="00EA0F2B"/>
    <w:rsid w:val="00EA33B5"/>
    <w:rsid w:val="00EA553C"/>
    <w:rsid w:val="00EA5B74"/>
    <w:rsid w:val="00EB1B08"/>
    <w:rsid w:val="00EC0612"/>
    <w:rsid w:val="00EC5B43"/>
    <w:rsid w:val="00ED0651"/>
    <w:rsid w:val="00ED0E55"/>
    <w:rsid w:val="00ED5903"/>
    <w:rsid w:val="00ED78CA"/>
    <w:rsid w:val="00EE5346"/>
    <w:rsid w:val="00EE7B6A"/>
    <w:rsid w:val="00EE7FC2"/>
    <w:rsid w:val="00F01A5E"/>
    <w:rsid w:val="00F11E0A"/>
    <w:rsid w:val="00F12CAE"/>
    <w:rsid w:val="00F17A29"/>
    <w:rsid w:val="00F23CE4"/>
    <w:rsid w:val="00F302CE"/>
    <w:rsid w:val="00F3132A"/>
    <w:rsid w:val="00F317EA"/>
    <w:rsid w:val="00F4339B"/>
    <w:rsid w:val="00F529FB"/>
    <w:rsid w:val="00F52A2B"/>
    <w:rsid w:val="00F54887"/>
    <w:rsid w:val="00F6409E"/>
    <w:rsid w:val="00F64862"/>
    <w:rsid w:val="00F66EFB"/>
    <w:rsid w:val="00F676DD"/>
    <w:rsid w:val="00F816BC"/>
    <w:rsid w:val="00F82F2F"/>
    <w:rsid w:val="00F9211C"/>
    <w:rsid w:val="00F93CFC"/>
    <w:rsid w:val="00FA5EE7"/>
    <w:rsid w:val="00FB0BD4"/>
    <w:rsid w:val="00FB120A"/>
    <w:rsid w:val="00FB7356"/>
    <w:rsid w:val="00FB7FE0"/>
    <w:rsid w:val="00FC191B"/>
    <w:rsid w:val="00FE3982"/>
    <w:rsid w:val="00FE3F24"/>
    <w:rsid w:val="00FE4186"/>
    <w:rsid w:val="00FE4BDB"/>
    <w:rsid w:val="00FF499D"/>
    <w:rsid w:val="00FF5CDD"/>
    <w:rsid w:val="00FF648B"/>
    <w:rsid w:val="00FF7900"/>
    <w:rsid w:val="010A9A01"/>
    <w:rsid w:val="02C577F6"/>
    <w:rsid w:val="030B3F37"/>
    <w:rsid w:val="0331CE7A"/>
    <w:rsid w:val="03C91CE4"/>
    <w:rsid w:val="045748DD"/>
    <w:rsid w:val="0480A815"/>
    <w:rsid w:val="054C42FB"/>
    <w:rsid w:val="0626637D"/>
    <w:rsid w:val="06389CCC"/>
    <w:rsid w:val="06638224"/>
    <w:rsid w:val="0718D694"/>
    <w:rsid w:val="0844E50F"/>
    <w:rsid w:val="0854641C"/>
    <w:rsid w:val="08AE28B3"/>
    <w:rsid w:val="08B5E361"/>
    <w:rsid w:val="092D8F92"/>
    <w:rsid w:val="09B52808"/>
    <w:rsid w:val="09C6C965"/>
    <w:rsid w:val="09D99353"/>
    <w:rsid w:val="0A8CCF57"/>
    <w:rsid w:val="0AF61E02"/>
    <w:rsid w:val="0B1141BC"/>
    <w:rsid w:val="0B3402AB"/>
    <w:rsid w:val="0B37ADE8"/>
    <w:rsid w:val="0BEDFD79"/>
    <w:rsid w:val="0C1414A7"/>
    <w:rsid w:val="0D6A40D0"/>
    <w:rsid w:val="0E792CDD"/>
    <w:rsid w:val="0E9CBE36"/>
    <w:rsid w:val="0E9ECCB1"/>
    <w:rsid w:val="0ED207FF"/>
    <w:rsid w:val="1013BEBD"/>
    <w:rsid w:val="10466F36"/>
    <w:rsid w:val="10CFBA18"/>
    <w:rsid w:val="1156D25C"/>
    <w:rsid w:val="11797EC3"/>
    <w:rsid w:val="11AAFD62"/>
    <w:rsid w:val="11C6AC16"/>
    <w:rsid w:val="123DEB16"/>
    <w:rsid w:val="1291648E"/>
    <w:rsid w:val="12C55BA7"/>
    <w:rsid w:val="1406883E"/>
    <w:rsid w:val="1472F2D5"/>
    <w:rsid w:val="14D169E7"/>
    <w:rsid w:val="14DE9693"/>
    <w:rsid w:val="1582BF0F"/>
    <w:rsid w:val="15ACD2F3"/>
    <w:rsid w:val="1656D364"/>
    <w:rsid w:val="16726EAD"/>
    <w:rsid w:val="169912BC"/>
    <w:rsid w:val="16FAAD93"/>
    <w:rsid w:val="17B200C0"/>
    <w:rsid w:val="17EDC543"/>
    <w:rsid w:val="185B5FDE"/>
    <w:rsid w:val="189756C3"/>
    <w:rsid w:val="194C1CDA"/>
    <w:rsid w:val="194FA97B"/>
    <w:rsid w:val="195B4BFF"/>
    <w:rsid w:val="195E9F05"/>
    <w:rsid w:val="19870403"/>
    <w:rsid w:val="1A7BA34C"/>
    <w:rsid w:val="1A85FCF2"/>
    <w:rsid w:val="1A93CBCB"/>
    <w:rsid w:val="1B2FA9F9"/>
    <w:rsid w:val="1C61FE71"/>
    <w:rsid w:val="1C623A82"/>
    <w:rsid w:val="1D44743F"/>
    <w:rsid w:val="1D4B1522"/>
    <w:rsid w:val="1D5B3ADD"/>
    <w:rsid w:val="1D8276A5"/>
    <w:rsid w:val="1DD2F53F"/>
    <w:rsid w:val="1DFFF3EC"/>
    <w:rsid w:val="1E19E9AA"/>
    <w:rsid w:val="1F153459"/>
    <w:rsid w:val="201979E5"/>
    <w:rsid w:val="20FCA760"/>
    <w:rsid w:val="2111119B"/>
    <w:rsid w:val="2147FCC9"/>
    <w:rsid w:val="215EE88F"/>
    <w:rsid w:val="21FCDC34"/>
    <w:rsid w:val="23571376"/>
    <w:rsid w:val="23587DE7"/>
    <w:rsid w:val="2361C774"/>
    <w:rsid w:val="236D8CE5"/>
    <w:rsid w:val="24563B47"/>
    <w:rsid w:val="2507C4BF"/>
    <w:rsid w:val="25B61892"/>
    <w:rsid w:val="25E39C3C"/>
    <w:rsid w:val="25E4682A"/>
    <w:rsid w:val="26AFF8E8"/>
    <w:rsid w:val="26B81A1D"/>
    <w:rsid w:val="26E06BA2"/>
    <w:rsid w:val="26E11A83"/>
    <w:rsid w:val="277DC138"/>
    <w:rsid w:val="278A1F1B"/>
    <w:rsid w:val="278F182A"/>
    <w:rsid w:val="27BC5071"/>
    <w:rsid w:val="2815C548"/>
    <w:rsid w:val="2861A2A7"/>
    <w:rsid w:val="2863ED41"/>
    <w:rsid w:val="2886CF48"/>
    <w:rsid w:val="29208EFB"/>
    <w:rsid w:val="2961748E"/>
    <w:rsid w:val="299A093A"/>
    <w:rsid w:val="2C412991"/>
    <w:rsid w:val="2C5BC32A"/>
    <w:rsid w:val="2C765B4E"/>
    <w:rsid w:val="2CBA0798"/>
    <w:rsid w:val="2CC2DA63"/>
    <w:rsid w:val="2DFF1D1E"/>
    <w:rsid w:val="2E194816"/>
    <w:rsid w:val="2E484FED"/>
    <w:rsid w:val="2E52BDDD"/>
    <w:rsid w:val="2E92286A"/>
    <w:rsid w:val="2F00875B"/>
    <w:rsid w:val="2F46316B"/>
    <w:rsid w:val="3051F28E"/>
    <w:rsid w:val="3053B55E"/>
    <w:rsid w:val="3086CC6A"/>
    <w:rsid w:val="321C7C28"/>
    <w:rsid w:val="323FF901"/>
    <w:rsid w:val="33A51B4D"/>
    <w:rsid w:val="3483C38B"/>
    <w:rsid w:val="349FBA92"/>
    <w:rsid w:val="361DBB5C"/>
    <w:rsid w:val="36336815"/>
    <w:rsid w:val="365A650A"/>
    <w:rsid w:val="36AE99E8"/>
    <w:rsid w:val="37CC6290"/>
    <w:rsid w:val="37ECCFDC"/>
    <w:rsid w:val="386ECD58"/>
    <w:rsid w:val="387C05D5"/>
    <w:rsid w:val="38DC6BAD"/>
    <w:rsid w:val="38E0FC37"/>
    <w:rsid w:val="38F168E8"/>
    <w:rsid w:val="3911EC3B"/>
    <w:rsid w:val="395E8E51"/>
    <w:rsid w:val="3974206C"/>
    <w:rsid w:val="39B0C680"/>
    <w:rsid w:val="39EFB0BD"/>
    <w:rsid w:val="3A0F023C"/>
    <w:rsid w:val="3A15551E"/>
    <w:rsid w:val="3A88A501"/>
    <w:rsid w:val="3C2A9964"/>
    <w:rsid w:val="3CCA9E7C"/>
    <w:rsid w:val="3CE504A4"/>
    <w:rsid w:val="3D2C6364"/>
    <w:rsid w:val="3DAA6686"/>
    <w:rsid w:val="3DB97046"/>
    <w:rsid w:val="3E152B67"/>
    <w:rsid w:val="3E160BD8"/>
    <w:rsid w:val="3E3ACA67"/>
    <w:rsid w:val="3F04D742"/>
    <w:rsid w:val="3F147C47"/>
    <w:rsid w:val="3FB66F1B"/>
    <w:rsid w:val="401A63BA"/>
    <w:rsid w:val="403718BB"/>
    <w:rsid w:val="406CA5EE"/>
    <w:rsid w:val="40D296B8"/>
    <w:rsid w:val="40F03524"/>
    <w:rsid w:val="41C7C199"/>
    <w:rsid w:val="41EBBBE9"/>
    <w:rsid w:val="4214A2C5"/>
    <w:rsid w:val="4214F711"/>
    <w:rsid w:val="42C42CDE"/>
    <w:rsid w:val="4339D3D9"/>
    <w:rsid w:val="43CFFD73"/>
    <w:rsid w:val="4429E632"/>
    <w:rsid w:val="444B0BA5"/>
    <w:rsid w:val="44618766"/>
    <w:rsid w:val="4502DA41"/>
    <w:rsid w:val="4546E341"/>
    <w:rsid w:val="4596C210"/>
    <w:rsid w:val="45B72250"/>
    <w:rsid w:val="45E0589E"/>
    <w:rsid w:val="46BF0C21"/>
    <w:rsid w:val="46F92350"/>
    <w:rsid w:val="47773523"/>
    <w:rsid w:val="47D0B0EE"/>
    <w:rsid w:val="48464B7F"/>
    <w:rsid w:val="4893175A"/>
    <w:rsid w:val="490E86F5"/>
    <w:rsid w:val="494021EF"/>
    <w:rsid w:val="49A6A336"/>
    <w:rsid w:val="49E33BE2"/>
    <w:rsid w:val="4A3ECDEE"/>
    <w:rsid w:val="4B294E14"/>
    <w:rsid w:val="4BAAF8A3"/>
    <w:rsid w:val="4BF24ED8"/>
    <w:rsid w:val="4C2F8B5B"/>
    <w:rsid w:val="4C84973F"/>
    <w:rsid w:val="4C893F3E"/>
    <w:rsid w:val="4D40802C"/>
    <w:rsid w:val="4E190B92"/>
    <w:rsid w:val="4E4CFDC4"/>
    <w:rsid w:val="4EFB2A50"/>
    <w:rsid w:val="4FA4B819"/>
    <w:rsid w:val="5018B1DF"/>
    <w:rsid w:val="509C6730"/>
    <w:rsid w:val="509DE648"/>
    <w:rsid w:val="50A2A036"/>
    <w:rsid w:val="50EED77E"/>
    <w:rsid w:val="511CC21B"/>
    <w:rsid w:val="51654E03"/>
    <w:rsid w:val="51679957"/>
    <w:rsid w:val="517A0EFD"/>
    <w:rsid w:val="519814C3"/>
    <w:rsid w:val="51AE35BE"/>
    <w:rsid w:val="51E483AE"/>
    <w:rsid w:val="522F3AA9"/>
    <w:rsid w:val="526D4E35"/>
    <w:rsid w:val="5391336E"/>
    <w:rsid w:val="53A01817"/>
    <w:rsid w:val="53B3163E"/>
    <w:rsid w:val="547B1251"/>
    <w:rsid w:val="5493FE22"/>
    <w:rsid w:val="5508EFB4"/>
    <w:rsid w:val="5558FB54"/>
    <w:rsid w:val="55C49849"/>
    <w:rsid w:val="55CE8AC9"/>
    <w:rsid w:val="55E43FD9"/>
    <w:rsid w:val="56E4E3BC"/>
    <w:rsid w:val="575D8722"/>
    <w:rsid w:val="57D7D945"/>
    <w:rsid w:val="57E1A596"/>
    <w:rsid w:val="586DC83D"/>
    <w:rsid w:val="58C6EAB1"/>
    <w:rsid w:val="59029569"/>
    <w:rsid w:val="59662CDF"/>
    <w:rsid w:val="5989BA19"/>
    <w:rsid w:val="59BA7F98"/>
    <w:rsid w:val="59F5F89B"/>
    <w:rsid w:val="5A1EEE52"/>
    <w:rsid w:val="5A503695"/>
    <w:rsid w:val="5A76A86E"/>
    <w:rsid w:val="5B102A51"/>
    <w:rsid w:val="5B910CC4"/>
    <w:rsid w:val="5BC3DA7C"/>
    <w:rsid w:val="5C18A736"/>
    <w:rsid w:val="5CD2596A"/>
    <w:rsid w:val="5E6C288E"/>
    <w:rsid w:val="5EE3BB26"/>
    <w:rsid w:val="5F30FE3E"/>
    <w:rsid w:val="5F8DF174"/>
    <w:rsid w:val="5FE489AF"/>
    <w:rsid w:val="6082A719"/>
    <w:rsid w:val="60F10403"/>
    <w:rsid w:val="61B83117"/>
    <w:rsid w:val="6215C8FA"/>
    <w:rsid w:val="62724A81"/>
    <w:rsid w:val="63877C18"/>
    <w:rsid w:val="63A800B5"/>
    <w:rsid w:val="63C7B3F4"/>
    <w:rsid w:val="63E1D2C4"/>
    <w:rsid w:val="63F6836B"/>
    <w:rsid w:val="64790E91"/>
    <w:rsid w:val="64A5CD04"/>
    <w:rsid w:val="64B5DCD8"/>
    <w:rsid w:val="65149F08"/>
    <w:rsid w:val="6529A3DB"/>
    <w:rsid w:val="65F3EECF"/>
    <w:rsid w:val="661A5417"/>
    <w:rsid w:val="6708C788"/>
    <w:rsid w:val="6796F73A"/>
    <w:rsid w:val="67C8187A"/>
    <w:rsid w:val="67F1AF81"/>
    <w:rsid w:val="681F4731"/>
    <w:rsid w:val="68309F18"/>
    <w:rsid w:val="686BF0A4"/>
    <w:rsid w:val="68D2F593"/>
    <w:rsid w:val="69A975A4"/>
    <w:rsid w:val="69DC011B"/>
    <w:rsid w:val="6A2EB09E"/>
    <w:rsid w:val="6A6ED89C"/>
    <w:rsid w:val="6B09A502"/>
    <w:rsid w:val="6B2D9F16"/>
    <w:rsid w:val="6BA9AA8F"/>
    <w:rsid w:val="6BE51A73"/>
    <w:rsid w:val="6C6B5B42"/>
    <w:rsid w:val="6C6D83F2"/>
    <w:rsid w:val="6C6FD49A"/>
    <w:rsid w:val="6C7B1FDE"/>
    <w:rsid w:val="6C888E67"/>
    <w:rsid w:val="6C9E0EC7"/>
    <w:rsid w:val="6CC87F8C"/>
    <w:rsid w:val="6D50795B"/>
    <w:rsid w:val="6D6672F0"/>
    <w:rsid w:val="6D757243"/>
    <w:rsid w:val="6DA85134"/>
    <w:rsid w:val="6DC88BD9"/>
    <w:rsid w:val="6E291103"/>
    <w:rsid w:val="6E8DDAEE"/>
    <w:rsid w:val="6F4A3903"/>
    <w:rsid w:val="6F9CA9F2"/>
    <w:rsid w:val="7100C2F4"/>
    <w:rsid w:val="71491280"/>
    <w:rsid w:val="717DA82B"/>
    <w:rsid w:val="71B01C4F"/>
    <w:rsid w:val="71B205ED"/>
    <w:rsid w:val="71CDD602"/>
    <w:rsid w:val="7202763D"/>
    <w:rsid w:val="727C101B"/>
    <w:rsid w:val="72847934"/>
    <w:rsid w:val="73B3FCBD"/>
    <w:rsid w:val="7409B93D"/>
    <w:rsid w:val="749851B6"/>
    <w:rsid w:val="74AF5021"/>
    <w:rsid w:val="74C91BEA"/>
    <w:rsid w:val="75A3B1D1"/>
    <w:rsid w:val="7645002E"/>
    <w:rsid w:val="77662B37"/>
    <w:rsid w:val="77856FC1"/>
    <w:rsid w:val="78767967"/>
    <w:rsid w:val="7963CDCB"/>
    <w:rsid w:val="79936AB4"/>
    <w:rsid w:val="7A20158A"/>
    <w:rsid w:val="7A4D8BEC"/>
    <w:rsid w:val="7AB26666"/>
    <w:rsid w:val="7B08EC9B"/>
    <w:rsid w:val="7B2B1F3F"/>
    <w:rsid w:val="7BA8F86B"/>
    <w:rsid w:val="7CAA06A0"/>
    <w:rsid w:val="7DE34EDF"/>
    <w:rsid w:val="7E4DC168"/>
    <w:rsid w:val="7ED128A9"/>
    <w:rsid w:val="7FC32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82B9"/>
  <w15:chartTrackingRefBased/>
  <w15:docId w15:val="{73CC9C1A-A4A1-403E-916D-99266588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E0"/>
    <w:rPr>
      <w:rFonts w:eastAsiaTheme="majorEastAsia" w:cstheme="majorBidi"/>
      <w:color w:val="272727" w:themeColor="text1" w:themeTint="D8"/>
    </w:rPr>
  </w:style>
  <w:style w:type="paragraph" w:styleId="Title">
    <w:name w:val="Title"/>
    <w:basedOn w:val="Normal"/>
    <w:next w:val="Normal"/>
    <w:link w:val="TitleChar"/>
    <w:uiPriority w:val="10"/>
    <w:qFormat/>
    <w:rsid w:val="0083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E0"/>
    <w:pPr>
      <w:spacing w:before="160"/>
      <w:jc w:val="center"/>
    </w:pPr>
    <w:rPr>
      <w:i/>
      <w:iCs/>
      <w:color w:val="404040" w:themeColor="text1" w:themeTint="BF"/>
    </w:rPr>
  </w:style>
  <w:style w:type="character" w:customStyle="1" w:styleId="QuoteChar">
    <w:name w:val="Quote Char"/>
    <w:basedOn w:val="DefaultParagraphFont"/>
    <w:link w:val="Quote"/>
    <w:uiPriority w:val="29"/>
    <w:rsid w:val="00837CE0"/>
    <w:rPr>
      <w:i/>
      <w:iCs/>
      <w:color w:val="404040" w:themeColor="text1" w:themeTint="BF"/>
    </w:rPr>
  </w:style>
  <w:style w:type="paragraph" w:styleId="ListParagraph">
    <w:name w:val="List Paragraph"/>
    <w:basedOn w:val="Normal"/>
    <w:uiPriority w:val="34"/>
    <w:qFormat/>
    <w:rsid w:val="00837CE0"/>
    <w:pPr>
      <w:ind w:left="720"/>
      <w:contextualSpacing/>
    </w:pPr>
  </w:style>
  <w:style w:type="character" w:styleId="IntenseEmphasis">
    <w:name w:val="Intense Emphasis"/>
    <w:basedOn w:val="DefaultParagraphFont"/>
    <w:uiPriority w:val="21"/>
    <w:qFormat/>
    <w:rsid w:val="00837CE0"/>
    <w:rPr>
      <w:i/>
      <w:iCs/>
      <w:color w:val="0F4761" w:themeColor="accent1" w:themeShade="BF"/>
    </w:rPr>
  </w:style>
  <w:style w:type="paragraph" w:styleId="IntenseQuote">
    <w:name w:val="Intense Quote"/>
    <w:basedOn w:val="Normal"/>
    <w:next w:val="Normal"/>
    <w:link w:val="IntenseQuoteChar"/>
    <w:uiPriority w:val="30"/>
    <w:qFormat/>
    <w:rsid w:val="0083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CE0"/>
    <w:rPr>
      <w:i/>
      <w:iCs/>
      <w:color w:val="0F4761" w:themeColor="accent1" w:themeShade="BF"/>
    </w:rPr>
  </w:style>
  <w:style w:type="character" w:styleId="IntenseReference">
    <w:name w:val="Intense Reference"/>
    <w:basedOn w:val="DefaultParagraphFont"/>
    <w:uiPriority w:val="32"/>
    <w:qFormat/>
    <w:rsid w:val="00837CE0"/>
    <w:rPr>
      <w:b/>
      <w:bCs/>
      <w:smallCaps/>
      <w:color w:val="0F4761" w:themeColor="accent1" w:themeShade="BF"/>
      <w:spacing w:val="5"/>
    </w:rPr>
  </w:style>
  <w:style w:type="character" w:styleId="Hyperlink">
    <w:name w:val="Hyperlink"/>
    <w:basedOn w:val="DefaultParagraphFont"/>
    <w:uiPriority w:val="99"/>
    <w:unhideWhenUsed/>
    <w:rsid w:val="00837CE0"/>
    <w:rPr>
      <w:color w:val="467886" w:themeColor="hyperlink"/>
      <w:u w:val="single"/>
    </w:rPr>
  </w:style>
  <w:style w:type="character" w:styleId="UnresolvedMention">
    <w:name w:val="Unresolved Mention"/>
    <w:basedOn w:val="DefaultParagraphFont"/>
    <w:uiPriority w:val="99"/>
    <w:semiHidden/>
    <w:unhideWhenUsed/>
    <w:rsid w:val="00837CE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781E"/>
    <w:pPr>
      <w:spacing w:after="0" w:line="240" w:lineRule="auto"/>
    </w:pPr>
  </w:style>
  <w:style w:type="paragraph" w:styleId="CommentSubject">
    <w:name w:val="annotation subject"/>
    <w:basedOn w:val="CommentText"/>
    <w:next w:val="CommentText"/>
    <w:link w:val="CommentSubjectChar"/>
    <w:uiPriority w:val="99"/>
    <w:semiHidden/>
    <w:unhideWhenUsed/>
    <w:rsid w:val="00A471FD"/>
    <w:rPr>
      <w:b/>
      <w:bCs/>
    </w:rPr>
  </w:style>
  <w:style w:type="character" w:customStyle="1" w:styleId="CommentSubjectChar">
    <w:name w:val="Comment Subject Char"/>
    <w:basedOn w:val="CommentTextChar"/>
    <w:link w:val="CommentSubject"/>
    <w:uiPriority w:val="99"/>
    <w:semiHidden/>
    <w:rsid w:val="00A471FD"/>
    <w:rPr>
      <w:b/>
      <w:bCs/>
      <w:sz w:val="20"/>
      <w:szCs w:val="20"/>
    </w:rPr>
  </w:style>
  <w:style w:type="character" w:styleId="Mention">
    <w:name w:val="Mention"/>
    <w:basedOn w:val="DefaultParagraphFont"/>
    <w:uiPriority w:val="99"/>
    <w:unhideWhenUsed/>
    <w:rsid w:val="00332382"/>
    <w:rPr>
      <w:color w:val="2B579A"/>
      <w:shd w:val="clear" w:color="auto" w:fill="E1DFDD"/>
    </w:rPr>
  </w:style>
  <w:style w:type="character" w:styleId="FollowedHyperlink">
    <w:name w:val="FollowedHyperlink"/>
    <w:basedOn w:val="DefaultParagraphFont"/>
    <w:uiPriority w:val="99"/>
    <w:semiHidden/>
    <w:unhideWhenUsed/>
    <w:rsid w:val="003D37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bei.gov.ie/en/What-We-Do/Workplace-and-Skills/Employment-Permits/Employment-Permit-Eligi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jei.ie" TargetMode="External"/><Relationship Id="rId5" Type="http://schemas.openxmlformats.org/officeDocument/2006/relationships/styles" Target="styles.xml"/><Relationship Id="rId10" Type="http://schemas.openxmlformats.org/officeDocument/2006/relationships/hyperlink" Target="https://www.revenue.ie/en/tax-professionals/tdm/income-tax-capital-gains-tax-corporation-tax/part-05/05-05-19.pdf" TargetMode="External"/><Relationship Id="rId4" Type="http://schemas.openxmlformats.org/officeDocument/2006/relationships/numbering" Target="numbering.xml"/><Relationship Id="rId9" Type="http://schemas.openxmlformats.org/officeDocument/2006/relationships/hyperlink" Target="https://www.qqi.ie/what-we-do/the-qualifications-system/national-framework-of-qualif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9" ma:contentTypeDescription="Create a new document." ma:contentTypeScope="" ma:versionID="fa85aefd6e9dbf15477602be87cecc53">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1692e443cbf0c079fe162dfe9505cdf1"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36357-93AC-4710-909D-4BEE26E2E2E9}">
  <ds:schemaRefs>
    <ds:schemaRef ds:uri="http://schemas.microsoft.com/office/2006/metadata/properties"/>
    <ds:schemaRef ds:uri="http://schemas.microsoft.com/office/infopath/2007/PartnerControls"/>
    <ds:schemaRef ds:uri="cdcf9307-d291-4b54-bbd5-542d3a6563bf"/>
    <ds:schemaRef ds:uri="4925b2bc-3cb2-4669-9968-8d8a56e671d1"/>
  </ds:schemaRefs>
</ds:datastoreItem>
</file>

<file path=customXml/itemProps2.xml><?xml version="1.0" encoding="utf-8"?>
<ds:datastoreItem xmlns:ds="http://schemas.openxmlformats.org/officeDocument/2006/customXml" ds:itemID="{D628F568-7509-4D51-BA0A-69CE2E69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f9307-d291-4b54-bbd5-542d3a6563bf"/>
    <ds:schemaRef ds:uri="4925b2bc-3cb2-4669-9968-8d8a56e67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8F46E-C6F3-411D-BA2B-3CFEB362F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Withey, Claire</dc:creator>
  <cp:keywords/>
  <dc:description/>
  <cp:lastModifiedBy>Mooney, Caroline</cp:lastModifiedBy>
  <cp:revision>24</cp:revision>
  <dcterms:created xsi:type="dcterms:W3CDTF">2026-05-19T14:02:00Z</dcterms:created>
  <dcterms:modified xsi:type="dcterms:W3CDTF">2026-05-21T10:43:00Z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db8c257e-ab53-4efa-bb28-35caa4cdd710</vt:lpwstr>
  </property>
  <property fmtid="{D5CDD505-2E9C-101B-9397-08002B2CF9AE}" pid="3" name="ContentTypeId">
    <vt:lpwstr>0x010100E705C8F5C45549448AAC2245A766C604</vt:lpwstr>
  </property>
  <property fmtid="{D5CDD505-2E9C-101B-9397-08002B2CF9AE}" pid="4" name="Order">
    <vt:r8>20200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y fmtid="{D5CDD505-2E9C-101B-9397-08002B2CF9AE}" pid="9" name="docLang">
    <vt:lpwstr>en</vt:lpwstr>
  </property>
</Properties>
</file>