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3E76" w14:textId="77777777" w:rsidR="00EC3307" w:rsidRPr="00EC3307" w:rsidRDefault="00EC3307" w:rsidP="006E5240">
      <w:pPr>
        <w:pStyle w:val="Title"/>
        <w:spacing w:after="120"/>
        <w:rPr>
          <w:sz w:val="40"/>
          <w:szCs w:val="40"/>
        </w:rPr>
      </w:pPr>
      <w:bookmarkStart w:id="0" w:name="Section_I__Theory_of_Information_Systems"/>
      <w:r w:rsidRPr="00EC3307">
        <w:rPr>
          <w:sz w:val="40"/>
          <w:szCs w:val="40"/>
        </w:rPr>
        <w:t>Climate Justice</w:t>
      </w:r>
    </w:p>
    <w:p w14:paraId="03DA1BD3" w14:textId="77777777" w:rsidR="00EC3307" w:rsidRPr="009D071C" w:rsidRDefault="00EC3307" w:rsidP="00EC3307">
      <w:pPr>
        <w:pStyle w:val="Title"/>
        <w:spacing w:after="120"/>
        <w:rPr>
          <w:b w:val="0"/>
          <w:bCs w:val="0"/>
          <w:sz w:val="32"/>
          <w:szCs w:val="32"/>
        </w:rPr>
      </w:pPr>
      <w:r w:rsidRPr="009D071C">
        <w:rPr>
          <w:b w:val="0"/>
          <w:bCs w:val="0"/>
          <w:sz w:val="32"/>
          <w:szCs w:val="32"/>
        </w:rPr>
        <w:t>LW</w:t>
      </w:r>
      <w:r w:rsidR="00A17139">
        <w:rPr>
          <w:b w:val="0"/>
          <w:bCs w:val="0"/>
          <w:sz w:val="32"/>
          <w:szCs w:val="32"/>
        </w:rPr>
        <w:t>5124</w:t>
      </w:r>
      <w:r w:rsidRPr="009D071C">
        <w:rPr>
          <w:b w:val="0"/>
          <w:bCs w:val="0"/>
          <w:sz w:val="32"/>
          <w:szCs w:val="32"/>
        </w:rPr>
        <w:t xml:space="preserve"> – </w:t>
      </w:r>
      <w:r w:rsidR="00B07F42">
        <w:rPr>
          <w:b w:val="0"/>
          <w:bCs w:val="0"/>
          <w:sz w:val="32"/>
          <w:szCs w:val="32"/>
        </w:rPr>
        <w:t>5</w:t>
      </w:r>
      <w:r w:rsidRPr="009D071C">
        <w:rPr>
          <w:b w:val="0"/>
          <w:bCs w:val="0"/>
          <w:sz w:val="32"/>
          <w:szCs w:val="32"/>
        </w:rPr>
        <w:t xml:space="preserve"> ECTS </w:t>
      </w:r>
      <w:r>
        <w:rPr>
          <w:b w:val="0"/>
          <w:bCs w:val="0"/>
          <w:sz w:val="32"/>
          <w:szCs w:val="32"/>
        </w:rPr>
        <w:t>– Semester 2</w:t>
      </w:r>
    </w:p>
    <w:p w14:paraId="616A27CC" w14:textId="77777777" w:rsidR="00EC3307" w:rsidRPr="009D071C" w:rsidRDefault="00860376" w:rsidP="00EC3307">
      <w:pPr>
        <w:pStyle w:val="Title"/>
        <w:spacing w:after="120"/>
        <w:rPr>
          <w:sz w:val="34"/>
          <w:szCs w:val="34"/>
        </w:rPr>
      </w:pPr>
      <w:r>
        <w:rPr>
          <w:sz w:val="34"/>
          <w:szCs w:val="34"/>
        </w:rPr>
        <w:t>Gerry Liston</w:t>
      </w:r>
    </w:p>
    <w:p w14:paraId="40859527" w14:textId="10916D8B" w:rsidR="00EC3307" w:rsidRPr="009D071C" w:rsidRDefault="00EC3307" w:rsidP="00EC3307">
      <w:pPr>
        <w:spacing w:after="120"/>
        <w:jc w:val="center"/>
        <w:outlineLvl w:val="0"/>
        <w:rPr>
          <w:sz w:val="34"/>
          <w:szCs w:val="34"/>
        </w:rPr>
      </w:pPr>
      <w:r w:rsidRPr="009D071C">
        <w:rPr>
          <w:rFonts w:ascii="Arial" w:hAnsi="Arial" w:cs="Arial"/>
          <w:b/>
          <w:bCs/>
          <w:sz w:val="34"/>
          <w:szCs w:val="34"/>
        </w:rPr>
        <w:t>Course Outline 202</w:t>
      </w:r>
      <w:r w:rsidR="00BE7427">
        <w:rPr>
          <w:rFonts w:ascii="Arial" w:hAnsi="Arial" w:cs="Arial"/>
          <w:b/>
          <w:bCs/>
          <w:sz w:val="34"/>
          <w:szCs w:val="34"/>
        </w:rPr>
        <w:t>3</w:t>
      </w:r>
      <w:r w:rsidRPr="009D071C">
        <w:rPr>
          <w:rFonts w:ascii="Arial" w:hAnsi="Arial" w:cs="Arial"/>
          <w:b/>
          <w:bCs/>
          <w:sz w:val="34"/>
          <w:szCs w:val="34"/>
        </w:rPr>
        <w:t>-202</w:t>
      </w:r>
      <w:r w:rsidR="00BE7427">
        <w:rPr>
          <w:rFonts w:ascii="Arial" w:hAnsi="Arial" w:cs="Arial"/>
          <w:b/>
          <w:bCs/>
          <w:sz w:val="34"/>
          <w:szCs w:val="34"/>
        </w:rPr>
        <w:t>4</w:t>
      </w:r>
    </w:p>
    <w:p w14:paraId="5FB7BD0D" w14:textId="77777777" w:rsidR="009B1F84" w:rsidRDefault="009B1F84" w:rsidP="009B1F84">
      <w:pPr>
        <w:pStyle w:val="NormalWeb"/>
        <w:spacing w:before="0" w:beforeAutospacing="0" w:after="0" w:afterAutospacing="0"/>
      </w:pPr>
    </w:p>
    <w:tbl>
      <w:tblPr>
        <w:tblW w:w="509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2"/>
        <w:gridCol w:w="1531"/>
        <w:gridCol w:w="1699"/>
        <w:gridCol w:w="463"/>
        <w:gridCol w:w="901"/>
        <w:gridCol w:w="197"/>
        <w:gridCol w:w="3106"/>
        <w:gridCol w:w="12"/>
      </w:tblGrid>
      <w:tr w:rsidR="009B1F84" w:rsidRPr="009239F4" w14:paraId="0DEC1F3B" w14:textId="77777777" w:rsidTr="004351C7">
        <w:tc>
          <w:tcPr>
            <w:tcW w:w="1058" w:type="pct"/>
            <w:tcBorders>
              <w:top w:val="single" w:sz="4" w:space="0" w:color="auto"/>
              <w:left w:val="single" w:sz="4" w:space="0" w:color="auto"/>
              <w:bottom w:val="single" w:sz="4" w:space="0" w:color="auto"/>
              <w:right w:val="single" w:sz="4" w:space="0" w:color="auto"/>
            </w:tcBorders>
            <w:shd w:val="clear" w:color="auto" w:fill="D9D9D9"/>
            <w:vAlign w:val="center"/>
          </w:tcPr>
          <w:p w14:paraId="26DC8B4B" w14:textId="77777777" w:rsidR="009B1F84" w:rsidRPr="009239F4" w:rsidRDefault="009B1F84" w:rsidP="009B1F84">
            <w:pPr>
              <w:tabs>
                <w:tab w:val="left" w:pos="-720"/>
              </w:tabs>
              <w:spacing w:before="100" w:beforeAutospacing="1" w:after="100" w:afterAutospacing="1"/>
              <w:ind w:right="84"/>
              <w:jc w:val="center"/>
              <w:rPr>
                <w:rFonts w:ascii="Arial" w:hAnsi="Arial" w:cs="Arial"/>
                <w:szCs w:val="20"/>
              </w:rPr>
            </w:pPr>
            <w:r w:rsidRPr="002C1652">
              <w:rPr>
                <w:rFonts w:ascii="Arial" w:hAnsi="Arial" w:cs="Arial"/>
                <w:b/>
                <w:szCs w:val="20"/>
              </w:rPr>
              <w:t>Objective</w:t>
            </w:r>
          </w:p>
        </w:tc>
        <w:tc>
          <w:tcPr>
            <w:tcW w:w="3942" w:type="pct"/>
            <w:gridSpan w:val="7"/>
            <w:tcBorders>
              <w:top w:val="single" w:sz="4" w:space="0" w:color="auto"/>
              <w:left w:val="single" w:sz="4" w:space="0" w:color="auto"/>
              <w:bottom w:val="single" w:sz="4" w:space="0" w:color="auto"/>
              <w:right w:val="single" w:sz="4" w:space="0" w:color="auto"/>
            </w:tcBorders>
            <w:vAlign w:val="center"/>
          </w:tcPr>
          <w:p w14:paraId="75D8817A" w14:textId="77777777" w:rsidR="009B1F84" w:rsidRPr="00C96FDE" w:rsidRDefault="009B1F84" w:rsidP="00CC0477">
            <w:pPr>
              <w:spacing w:before="120" w:after="120"/>
              <w:jc w:val="both"/>
              <w:rPr>
                <w:rFonts w:ascii="Arial" w:hAnsi="Arial" w:cs="Arial"/>
              </w:rPr>
            </w:pPr>
            <w:r w:rsidRPr="00C96FDE">
              <w:rPr>
                <w:rFonts w:ascii="Arial" w:hAnsi="Arial" w:cs="Arial"/>
              </w:rPr>
              <w:t xml:space="preserve">The course </w:t>
            </w:r>
            <w:r w:rsidR="00126A98">
              <w:rPr>
                <w:rFonts w:ascii="Arial" w:hAnsi="Arial" w:cs="Arial"/>
              </w:rPr>
              <w:t xml:space="preserve">engages </w:t>
            </w:r>
            <w:r w:rsidR="005C1AD3">
              <w:rPr>
                <w:rFonts w:ascii="Arial" w:hAnsi="Arial" w:cs="Arial"/>
              </w:rPr>
              <w:t>post</w:t>
            </w:r>
            <w:r>
              <w:rPr>
                <w:rFonts w:ascii="Arial" w:hAnsi="Arial" w:cs="Arial"/>
              </w:rPr>
              <w:t xml:space="preserve">graduate students </w:t>
            </w:r>
            <w:r w:rsidR="00126A98">
              <w:rPr>
                <w:rFonts w:ascii="Arial" w:hAnsi="Arial" w:cs="Arial"/>
              </w:rPr>
              <w:t>with</w:t>
            </w:r>
            <w:r>
              <w:rPr>
                <w:rFonts w:ascii="Arial" w:hAnsi="Arial" w:cs="Arial"/>
              </w:rPr>
              <w:t xml:space="preserve"> the topic of </w:t>
            </w:r>
            <w:r w:rsidR="00EC3307">
              <w:rPr>
                <w:rFonts w:ascii="Arial" w:hAnsi="Arial" w:cs="Arial"/>
              </w:rPr>
              <w:t>climate justice</w:t>
            </w:r>
            <w:r>
              <w:rPr>
                <w:rFonts w:ascii="Arial" w:hAnsi="Arial" w:cs="Arial"/>
              </w:rPr>
              <w:t>, exploring questions regarding</w:t>
            </w:r>
            <w:r w:rsidR="00EC3307">
              <w:rPr>
                <w:rFonts w:ascii="Arial" w:hAnsi="Arial" w:cs="Arial"/>
              </w:rPr>
              <w:t xml:space="preserve"> the role of human rights in addressing climate change and environmental damage,</w:t>
            </w:r>
            <w:r>
              <w:rPr>
                <w:rFonts w:ascii="Arial" w:hAnsi="Arial" w:cs="Arial"/>
              </w:rPr>
              <w:t xml:space="preserve"> </w:t>
            </w:r>
            <w:r w:rsidR="00EC3307">
              <w:rPr>
                <w:rFonts w:ascii="Arial" w:hAnsi="Arial" w:cs="Arial"/>
              </w:rPr>
              <w:t xml:space="preserve">and the relevant </w:t>
            </w:r>
            <w:r w:rsidR="00CC0477">
              <w:rPr>
                <w:rFonts w:ascii="Arial" w:hAnsi="Arial" w:cs="Arial"/>
              </w:rPr>
              <w:t xml:space="preserve">obligations </w:t>
            </w:r>
            <w:r w:rsidR="00EC3307">
              <w:rPr>
                <w:rFonts w:ascii="Arial" w:hAnsi="Arial" w:cs="Arial"/>
              </w:rPr>
              <w:t xml:space="preserve">of States and other actors (including </w:t>
            </w:r>
            <w:r>
              <w:rPr>
                <w:rFonts w:ascii="Arial" w:hAnsi="Arial" w:cs="Arial"/>
              </w:rPr>
              <w:t>business entities</w:t>
            </w:r>
            <w:r w:rsidR="00EC3307">
              <w:rPr>
                <w:rFonts w:ascii="Arial" w:hAnsi="Arial" w:cs="Arial"/>
              </w:rPr>
              <w:t>)</w:t>
            </w:r>
            <w:r>
              <w:rPr>
                <w:rFonts w:ascii="Arial" w:hAnsi="Arial" w:cs="Arial"/>
              </w:rPr>
              <w:t>. It considers developments at the international and domestic level</w:t>
            </w:r>
            <w:r w:rsidR="00EC3307">
              <w:rPr>
                <w:rFonts w:ascii="Arial" w:hAnsi="Arial" w:cs="Arial"/>
              </w:rPr>
              <w:t xml:space="preserve">, including within the </w:t>
            </w:r>
            <w:r w:rsidR="00177943">
              <w:rPr>
                <w:rFonts w:ascii="Arial" w:hAnsi="Arial" w:cs="Arial"/>
              </w:rPr>
              <w:t xml:space="preserve">European and </w:t>
            </w:r>
            <w:r w:rsidR="00EC3307">
              <w:rPr>
                <w:rFonts w:ascii="Arial" w:hAnsi="Arial" w:cs="Arial"/>
              </w:rPr>
              <w:t>United Nations human rights system, international criminal justice, constitutional law and civil litigation</w:t>
            </w:r>
            <w:r>
              <w:rPr>
                <w:rFonts w:ascii="Arial" w:hAnsi="Arial" w:cs="Arial"/>
              </w:rPr>
              <w:t>.</w:t>
            </w:r>
          </w:p>
        </w:tc>
      </w:tr>
      <w:tr w:rsidR="009B1F84" w:rsidRPr="009239F4" w14:paraId="1294C844" w14:textId="77777777" w:rsidTr="004351C7">
        <w:trPr>
          <w:gridAfter w:val="1"/>
          <w:wAfter w:w="6" w:type="pct"/>
          <w:trHeight w:val="134"/>
        </w:trPr>
        <w:tc>
          <w:tcPr>
            <w:tcW w:w="1058" w:type="pct"/>
            <w:vMerge w:val="restart"/>
            <w:tcBorders>
              <w:top w:val="single" w:sz="4" w:space="0" w:color="auto"/>
              <w:left w:val="single" w:sz="4" w:space="0" w:color="auto"/>
              <w:right w:val="single" w:sz="4" w:space="0" w:color="auto"/>
            </w:tcBorders>
            <w:shd w:val="clear" w:color="auto" w:fill="D9D9D9"/>
            <w:vAlign w:val="center"/>
          </w:tcPr>
          <w:p w14:paraId="3676E24A" w14:textId="77777777" w:rsidR="009B1F84" w:rsidRPr="009239F4" w:rsidRDefault="009B1F84" w:rsidP="009B1F84">
            <w:pPr>
              <w:tabs>
                <w:tab w:val="left" w:pos="-720"/>
              </w:tabs>
              <w:spacing w:before="100" w:beforeAutospacing="1" w:after="100" w:afterAutospacing="1"/>
              <w:ind w:right="84"/>
              <w:jc w:val="center"/>
              <w:rPr>
                <w:rFonts w:ascii="Arial" w:hAnsi="Arial" w:cs="Arial"/>
                <w:szCs w:val="20"/>
              </w:rPr>
            </w:pPr>
            <w:r w:rsidRPr="009239F4">
              <w:rPr>
                <w:rFonts w:ascii="Arial" w:hAnsi="Arial" w:cs="Arial"/>
                <w:b/>
                <w:szCs w:val="20"/>
              </w:rPr>
              <w:t>Lecturer</w:t>
            </w:r>
            <w:r>
              <w:rPr>
                <w:rFonts w:ascii="Arial" w:hAnsi="Arial" w:cs="Arial"/>
                <w:b/>
                <w:szCs w:val="20"/>
              </w:rPr>
              <w:t>(s)</w:t>
            </w:r>
          </w:p>
        </w:tc>
        <w:tc>
          <w:tcPr>
            <w:tcW w:w="763" w:type="pct"/>
            <w:tcBorders>
              <w:top w:val="single" w:sz="4" w:space="0" w:color="auto"/>
              <w:left w:val="single" w:sz="4" w:space="0" w:color="auto"/>
              <w:bottom w:val="nil"/>
              <w:right w:val="nil"/>
            </w:tcBorders>
            <w:shd w:val="clear" w:color="auto" w:fill="D9D9D9"/>
          </w:tcPr>
          <w:p w14:paraId="09D41225" w14:textId="77777777" w:rsidR="009B1F84" w:rsidRPr="00FE40C1" w:rsidRDefault="009B1F84" w:rsidP="009B1F84">
            <w:pPr>
              <w:tabs>
                <w:tab w:val="left" w:pos="-720"/>
              </w:tabs>
              <w:spacing w:before="60" w:after="60"/>
              <w:ind w:right="85"/>
              <w:rPr>
                <w:rFonts w:ascii="Arial" w:hAnsi="Arial" w:cs="Arial"/>
                <w:b/>
                <w:szCs w:val="20"/>
              </w:rPr>
            </w:pPr>
            <w:r w:rsidRPr="00FE40C1">
              <w:rPr>
                <w:rFonts w:ascii="Arial" w:hAnsi="Arial" w:cs="Arial"/>
                <w:b/>
                <w:szCs w:val="20"/>
              </w:rPr>
              <w:t>Name</w:t>
            </w:r>
          </w:p>
        </w:tc>
        <w:tc>
          <w:tcPr>
            <w:tcW w:w="1078" w:type="pct"/>
            <w:gridSpan w:val="2"/>
            <w:tcBorders>
              <w:top w:val="single" w:sz="4" w:space="0" w:color="auto"/>
              <w:left w:val="nil"/>
              <w:bottom w:val="nil"/>
              <w:right w:val="nil"/>
            </w:tcBorders>
            <w:shd w:val="clear" w:color="auto" w:fill="D9D9D9"/>
          </w:tcPr>
          <w:p w14:paraId="27C8C014" w14:textId="77777777" w:rsidR="009B1F84" w:rsidRPr="00FE40C1" w:rsidRDefault="009B1F84" w:rsidP="009B1F84">
            <w:pPr>
              <w:tabs>
                <w:tab w:val="left" w:pos="-720"/>
              </w:tabs>
              <w:spacing w:before="60" w:after="60"/>
              <w:ind w:right="85"/>
              <w:rPr>
                <w:rFonts w:ascii="Arial" w:hAnsi="Arial" w:cs="Arial"/>
                <w:b/>
                <w:szCs w:val="20"/>
              </w:rPr>
            </w:pPr>
            <w:r w:rsidRPr="00FE40C1">
              <w:rPr>
                <w:rFonts w:ascii="Arial" w:hAnsi="Arial" w:cs="Arial"/>
                <w:b/>
                <w:szCs w:val="20"/>
              </w:rPr>
              <w:t>Office</w:t>
            </w:r>
          </w:p>
        </w:tc>
        <w:tc>
          <w:tcPr>
            <w:tcW w:w="449" w:type="pct"/>
            <w:tcBorders>
              <w:top w:val="single" w:sz="4" w:space="0" w:color="auto"/>
              <w:left w:val="nil"/>
              <w:bottom w:val="nil"/>
              <w:right w:val="nil"/>
            </w:tcBorders>
            <w:shd w:val="clear" w:color="auto" w:fill="D9D9D9"/>
          </w:tcPr>
          <w:p w14:paraId="5B7D804D" w14:textId="77777777" w:rsidR="009B1F84" w:rsidRPr="00FE40C1" w:rsidRDefault="009B1F84" w:rsidP="009B1F84">
            <w:pPr>
              <w:tabs>
                <w:tab w:val="left" w:pos="-720"/>
              </w:tabs>
              <w:spacing w:before="60" w:after="60"/>
              <w:ind w:right="85"/>
              <w:rPr>
                <w:rFonts w:ascii="Arial" w:hAnsi="Arial" w:cs="Arial"/>
                <w:b/>
                <w:szCs w:val="20"/>
              </w:rPr>
            </w:pPr>
            <w:r>
              <w:rPr>
                <w:rFonts w:ascii="Arial" w:hAnsi="Arial" w:cs="Arial"/>
                <w:b/>
                <w:szCs w:val="20"/>
              </w:rPr>
              <w:t>E</w:t>
            </w:r>
            <w:r w:rsidRPr="00FE40C1">
              <w:rPr>
                <w:rFonts w:ascii="Arial" w:hAnsi="Arial" w:cs="Arial"/>
                <w:b/>
                <w:szCs w:val="20"/>
              </w:rPr>
              <w:t>xt</w:t>
            </w:r>
          </w:p>
        </w:tc>
        <w:tc>
          <w:tcPr>
            <w:tcW w:w="1646" w:type="pct"/>
            <w:gridSpan w:val="2"/>
            <w:tcBorders>
              <w:top w:val="single" w:sz="4" w:space="0" w:color="auto"/>
              <w:left w:val="nil"/>
              <w:bottom w:val="nil"/>
              <w:right w:val="single" w:sz="4" w:space="0" w:color="auto"/>
            </w:tcBorders>
            <w:shd w:val="clear" w:color="auto" w:fill="D9D9D9"/>
          </w:tcPr>
          <w:p w14:paraId="78AFFD49" w14:textId="77777777" w:rsidR="009B1F84" w:rsidRPr="00FE40C1" w:rsidRDefault="009B1F84" w:rsidP="009B1F84">
            <w:pPr>
              <w:tabs>
                <w:tab w:val="left" w:pos="-720"/>
              </w:tabs>
              <w:spacing w:before="60" w:after="60"/>
              <w:ind w:right="85"/>
              <w:rPr>
                <w:rFonts w:ascii="Arial" w:hAnsi="Arial" w:cs="Arial"/>
                <w:b/>
                <w:szCs w:val="20"/>
              </w:rPr>
            </w:pPr>
            <w:r w:rsidRPr="00FE40C1">
              <w:rPr>
                <w:rFonts w:ascii="Arial" w:hAnsi="Arial" w:cs="Arial"/>
                <w:b/>
                <w:szCs w:val="20"/>
              </w:rPr>
              <w:t>E-mail</w:t>
            </w:r>
          </w:p>
        </w:tc>
      </w:tr>
      <w:tr w:rsidR="009B1F84" w:rsidRPr="009239F4" w14:paraId="43F3C1C3" w14:textId="77777777" w:rsidTr="004351C7">
        <w:trPr>
          <w:gridAfter w:val="1"/>
          <w:wAfter w:w="6" w:type="pct"/>
          <w:trHeight w:val="133"/>
        </w:trPr>
        <w:tc>
          <w:tcPr>
            <w:tcW w:w="1058" w:type="pct"/>
            <w:vMerge/>
            <w:tcBorders>
              <w:left w:val="single" w:sz="4" w:space="0" w:color="auto"/>
              <w:right w:val="single" w:sz="4" w:space="0" w:color="auto"/>
            </w:tcBorders>
            <w:shd w:val="clear" w:color="auto" w:fill="D9D9D9"/>
            <w:vAlign w:val="center"/>
          </w:tcPr>
          <w:p w14:paraId="70D39E29" w14:textId="77777777" w:rsidR="009B1F84" w:rsidRPr="009239F4" w:rsidRDefault="009B1F84" w:rsidP="009B1F84">
            <w:pPr>
              <w:tabs>
                <w:tab w:val="left" w:pos="-720"/>
              </w:tabs>
              <w:spacing w:before="100" w:beforeAutospacing="1" w:after="100" w:afterAutospacing="1"/>
              <w:ind w:right="84"/>
              <w:jc w:val="center"/>
              <w:rPr>
                <w:rFonts w:ascii="Arial" w:hAnsi="Arial" w:cs="Arial"/>
                <w:b/>
                <w:szCs w:val="20"/>
              </w:rPr>
            </w:pPr>
          </w:p>
        </w:tc>
        <w:tc>
          <w:tcPr>
            <w:tcW w:w="763" w:type="pct"/>
            <w:tcBorders>
              <w:top w:val="nil"/>
              <w:left w:val="single" w:sz="4" w:space="0" w:color="auto"/>
              <w:bottom w:val="nil"/>
              <w:right w:val="nil"/>
            </w:tcBorders>
            <w:shd w:val="clear" w:color="auto" w:fill="D9D9D9"/>
          </w:tcPr>
          <w:p w14:paraId="01677359" w14:textId="77777777" w:rsidR="009B1F84" w:rsidRPr="009239F4" w:rsidRDefault="00177943" w:rsidP="009B1F84">
            <w:pPr>
              <w:tabs>
                <w:tab w:val="left" w:pos="-720"/>
              </w:tabs>
              <w:spacing w:before="60" w:after="60"/>
              <w:ind w:right="85"/>
              <w:rPr>
                <w:rFonts w:ascii="Arial" w:hAnsi="Arial" w:cs="Arial"/>
                <w:szCs w:val="20"/>
              </w:rPr>
            </w:pPr>
            <w:r>
              <w:rPr>
                <w:rFonts w:ascii="Arial" w:hAnsi="Arial" w:cs="Arial"/>
                <w:szCs w:val="20"/>
              </w:rPr>
              <w:t>Gerry Liston</w:t>
            </w:r>
          </w:p>
        </w:tc>
        <w:tc>
          <w:tcPr>
            <w:tcW w:w="1078" w:type="pct"/>
            <w:gridSpan w:val="2"/>
            <w:tcBorders>
              <w:top w:val="nil"/>
              <w:left w:val="nil"/>
              <w:bottom w:val="nil"/>
              <w:right w:val="nil"/>
            </w:tcBorders>
            <w:shd w:val="clear" w:color="auto" w:fill="D9D9D9"/>
          </w:tcPr>
          <w:p w14:paraId="78C0D8E6" w14:textId="77777777" w:rsidR="009B1F84" w:rsidRDefault="009B1F84" w:rsidP="009B1F84">
            <w:pPr>
              <w:tabs>
                <w:tab w:val="left" w:pos="-720"/>
              </w:tabs>
              <w:spacing w:before="60" w:after="60"/>
              <w:ind w:right="85"/>
              <w:rPr>
                <w:rFonts w:ascii="Arial" w:hAnsi="Arial" w:cs="Arial"/>
                <w:szCs w:val="20"/>
              </w:rPr>
            </w:pPr>
            <w:r>
              <w:rPr>
                <w:rFonts w:ascii="Arial" w:hAnsi="Arial" w:cs="Arial"/>
                <w:szCs w:val="20"/>
              </w:rPr>
              <w:t>Room 20</w:t>
            </w:r>
            <w:r w:rsidR="00177943">
              <w:rPr>
                <w:rFonts w:ascii="Arial" w:hAnsi="Arial" w:cs="Arial"/>
                <w:szCs w:val="20"/>
              </w:rPr>
              <w:t>9</w:t>
            </w:r>
          </w:p>
          <w:p w14:paraId="194DD8E8" w14:textId="77777777" w:rsidR="009B1F84" w:rsidRDefault="009B1F84" w:rsidP="009B1F84">
            <w:pPr>
              <w:tabs>
                <w:tab w:val="left" w:pos="-720"/>
              </w:tabs>
              <w:spacing w:before="60" w:after="60"/>
              <w:ind w:right="85"/>
              <w:rPr>
                <w:rFonts w:ascii="Arial" w:hAnsi="Arial" w:cs="Arial"/>
                <w:b/>
                <w:szCs w:val="20"/>
              </w:rPr>
            </w:pPr>
            <w:r>
              <w:rPr>
                <w:rFonts w:ascii="Arial" w:hAnsi="Arial" w:cs="Arial"/>
                <w:b/>
                <w:szCs w:val="20"/>
              </w:rPr>
              <w:t>Office Hours:</w:t>
            </w:r>
          </w:p>
          <w:p w14:paraId="5A870A21" w14:textId="77777777" w:rsidR="009B1F84" w:rsidRPr="00CA7E92" w:rsidRDefault="00C13A0B" w:rsidP="009B1F84">
            <w:pPr>
              <w:tabs>
                <w:tab w:val="left" w:pos="-720"/>
              </w:tabs>
              <w:spacing w:before="60" w:after="60"/>
              <w:ind w:right="85"/>
              <w:rPr>
                <w:rFonts w:ascii="Arial" w:hAnsi="Arial" w:cs="Arial"/>
                <w:szCs w:val="20"/>
              </w:rPr>
            </w:pPr>
            <w:r>
              <w:rPr>
                <w:rFonts w:ascii="Arial" w:hAnsi="Arial" w:cs="Arial"/>
                <w:szCs w:val="20"/>
              </w:rPr>
              <w:t>TBC</w:t>
            </w:r>
            <w:r w:rsidR="009B1F84">
              <w:rPr>
                <w:rFonts w:ascii="Arial" w:hAnsi="Arial" w:cs="Arial"/>
                <w:szCs w:val="20"/>
              </w:rPr>
              <w:t xml:space="preserve"> </w:t>
            </w:r>
          </w:p>
        </w:tc>
        <w:tc>
          <w:tcPr>
            <w:tcW w:w="449" w:type="pct"/>
            <w:tcBorders>
              <w:top w:val="nil"/>
              <w:left w:val="nil"/>
              <w:bottom w:val="nil"/>
              <w:right w:val="nil"/>
            </w:tcBorders>
            <w:shd w:val="clear" w:color="auto" w:fill="D9D9D9"/>
          </w:tcPr>
          <w:p w14:paraId="099C89A1" w14:textId="77777777" w:rsidR="009B1F84" w:rsidRPr="009239F4" w:rsidRDefault="00177943" w:rsidP="009B1F84">
            <w:pPr>
              <w:tabs>
                <w:tab w:val="left" w:pos="-720"/>
              </w:tabs>
              <w:spacing w:before="60" w:after="60"/>
              <w:ind w:right="85"/>
              <w:rPr>
                <w:rFonts w:ascii="Arial" w:hAnsi="Arial" w:cs="Arial"/>
                <w:szCs w:val="20"/>
              </w:rPr>
            </w:pPr>
            <w:r>
              <w:rPr>
                <w:rFonts w:ascii="Arial" w:hAnsi="Arial" w:cs="Arial"/>
                <w:szCs w:val="20"/>
              </w:rPr>
              <w:t>n/a</w:t>
            </w:r>
          </w:p>
        </w:tc>
        <w:tc>
          <w:tcPr>
            <w:tcW w:w="1646" w:type="pct"/>
            <w:gridSpan w:val="2"/>
            <w:tcBorders>
              <w:top w:val="nil"/>
              <w:left w:val="nil"/>
              <w:bottom w:val="nil"/>
              <w:right w:val="single" w:sz="4" w:space="0" w:color="auto"/>
            </w:tcBorders>
            <w:shd w:val="clear" w:color="auto" w:fill="D9D9D9"/>
          </w:tcPr>
          <w:p w14:paraId="55589FB5" w14:textId="77777777" w:rsidR="009B1F84" w:rsidRPr="009239F4" w:rsidRDefault="00000000" w:rsidP="009B1F84">
            <w:pPr>
              <w:tabs>
                <w:tab w:val="left" w:pos="-720"/>
              </w:tabs>
              <w:spacing w:before="60" w:after="60"/>
              <w:ind w:right="85"/>
              <w:rPr>
                <w:rFonts w:ascii="Arial" w:hAnsi="Arial" w:cs="Arial"/>
                <w:szCs w:val="20"/>
              </w:rPr>
            </w:pPr>
            <w:hyperlink r:id="rId7" w:history="1">
              <w:r w:rsidR="00C13A0B" w:rsidRPr="00003D9F">
                <w:rPr>
                  <w:rStyle w:val="Hyperlink"/>
                  <w:rFonts w:ascii="Arial" w:hAnsi="Arial" w:cs="Arial"/>
                  <w:szCs w:val="20"/>
                </w:rPr>
                <w:t>gliston@glanlaw.org</w:t>
              </w:r>
            </w:hyperlink>
            <w:r w:rsidR="00C13A0B">
              <w:rPr>
                <w:rFonts w:ascii="Arial" w:hAnsi="Arial" w:cs="Arial"/>
                <w:szCs w:val="20"/>
              </w:rPr>
              <w:t xml:space="preserve"> </w:t>
            </w:r>
            <w:r w:rsidR="009B1F84">
              <w:rPr>
                <w:rFonts w:ascii="Arial" w:hAnsi="Arial" w:cs="Arial"/>
                <w:szCs w:val="20"/>
              </w:rPr>
              <w:t xml:space="preserve"> </w:t>
            </w:r>
          </w:p>
        </w:tc>
      </w:tr>
      <w:tr w:rsidR="009B1F84" w:rsidRPr="009239F4" w14:paraId="26045E27" w14:textId="77777777" w:rsidTr="00111B6F">
        <w:trPr>
          <w:trHeight w:val="134"/>
        </w:trPr>
        <w:tc>
          <w:tcPr>
            <w:tcW w:w="1058" w:type="pct"/>
            <w:vMerge w:val="restart"/>
            <w:tcBorders>
              <w:top w:val="single" w:sz="4" w:space="0" w:color="auto"/>
              <w:left w:val="single" w:sz="4" w:space="0" w:color="auto"/>
              <w:right w:val="single" w:sz="4" w:space="0" w:color="auto"/>
            </w:tcBorders>
            <w:shd w:val="clear" w:color="auto" w:fill="D9D9D9"/>
            <w:vAlign w:val="center"/>
          </w:tcPr>
          <w:p w14:paraId="795D3BF7" w14:textId="77777777" w:rsidR="009B1F84" w:rsidRPr="009239F4" w:rsidRDefault="009B1F84" w:rsidP="009B1F84">
            <w:pPr>
              <w:tabs>
                <w:tab w:val="left" w:pos="-720"/>
                <w:tab w:val="left" w:pos="0"/>
                <w:tab w:val="left" w:pos="720"/>
              </w:tabs>
              <w:ind w:left="1440" w:right="84" w:hanging="1440"/>
              <w:jc w:val="center"/>
              <w:rPr>
                <w:rFonts w:ascii="Arial" w:hAnsi="Arial" w:cs="Arial"/>
                <w:szCs w:val="20"/>
              </w:rPr>
            </w:pPr>
            <w:r w:rsidRPr="009239F4">
              <w:rPr>
                <w:rFonts w:ascii="Arial" w:hAnsi="Arial" w:cs="Arial"/>
                <w:b/>
                <w:szCs w:val="20"/>
              </w:rPr>
              <w:t>Times</w:t>
            </w:r>
          </w:p>
        </w:tc>
        <w:tc>
          <w:tcPr>
            <w:tcW w:w="763" w:type="pct"/>
            <w:tcBorders>
              <w:top w:val="single" w:sz="4" w:space="0" w:color="auto"/>
              <w:left w:val="single" w:sz="4" w:space="0" w:color="auto"/>
              <w:bottom w:val="nil"/>
              <w:right w:val="nil"/>
            </w:tcBorders>
            <w:vAlign w:val="center"/>
          </w:tcPr>
          <w:p w14:paraId="08D262AD" w14:textId="77777777" w:rsidR="009B1F84" w:rsidRPr="00EC3307" w:rsidRDefault="00EC3307" w:rsidP="009B1F84">
            <w:pPr>
              <w:tabs>
                <w:tab w:val="left" w:pos="-720"/>
                <w:tab w:val="left" w:pos="0"/>
                <w:tab w:val="left" w:pos="720"/>
              </w:tabs>
              <w:spacing w:before="60" w:after="60"/>
              <w:ind w:left="1440" w:right="85" w:hanging="1440"/>
              <w:rPr>
                <w:rFonts w:ascii="Arial" w:hAnsi="Arial" w:cs="Arial"/>
                <w:b/>
                <w:bCs/>
                <w:szCs w:val="20"/>
              </w:rPr>
            </w:pPr>
            <w:r w:rsidRPr="00EC3307">
              <w:rPr>
                <w:rFonts w:ascii="Arial" w:hAnsi="Arial" w:cs="Arial"/>
                <w:b/>
                <w:bCs/>
                <w:szCs w:val="20"/>
              </w:rPr>
              <w:t>Semester</w:t>
            </w:r>
          </w:p>
        </w:tc>
        <w:tc>
          <w:tcPr>
            <w:tcW w:w="847" w:type="pct"/>
            <w:tcBorders>
              <w:top w:val="single" w:sz="4" w:space="0" w:color="auto"/>
              <w:left w:val="nil"/>
              <w:bottom w:val="nil"/>
              <w:right w:val="nil"/>
            </w:tcBorders>
            <w:vAlign w:val="center"/>
          </w:tcPr>
          <w:p w14:paraId="0A2048B7" w14:textId="77777777" w:rsidR="009B1F84" w:rsidRPr="00FE40C1" w:rsidRDefault="009B1F84" w:rsidP="009B1F84">
            <w:pPr>
              <w:tabs>
                <w:tab w:val="left" w:pos="-720"/>
                <w:tab w:val="left" w:pos="0"/>
                <w:tab w:val="left" w:pos="720"/>
              </w:tabs>
              <w:spacing w:before="60" w:after="60"/>
              <w:ind w:left="1440" w:right="85" w:hanging="1440"/>
              <w:rPr>
                <w:rFonts w:ascii="Arial" w:hAnsi="Arial" w:cs="Arial"/>
                <w:b/>
                <w:szCs w:val="20"/>
              </w:rPr>
            </w:pPr>
            <w:r w:rsidRPr="00FE40C1">
              <w:rPr>
                <w:rFonts w:ascii="Arial" w:hAnsi="Arial" w:cs="Arial"/>
                <w:b/>
                <w:szCs w:val="20"/>
              </w:rPr>
              <w:t>Day</w:t>
            </w:r>
          </w:p>
        </w:tc>
        <w:tc>
          <w:tcPr>
            <w:tcW w:w="778" w:type="pct"/>
            <w:gridSpan w:val="3"/>
            <w:tcBorders>
              <w:top w:val="single" w:sz="4" w:space="0" w:color="auto"/>
              <w:left w:val="nil"/>
              <w:bottom w:val="nil"/>
              <w:right w:val="nil"/>
            </w:tcBorders>
            <w:vAlign w:val="center"/>
          </w:tcPr>
          <w:p w14:paraId="13923AFF" w14:textId="77777777" w:rsidR="009B1F84" w:rsidRPr="00FE40C1" w:rsidRDefault="009B1F84" w:rsidP="009B1F84">
            <w:pPr>
              <w:tabs>
                <w:tab w:val="left" w:pos="-720"/>
                <w:tab w:val="left" w:pos="0"/>
                <w:tab w:val="left" w:pos="720"/>
              </w:tabs>
              <w:spacing w:before="60" w:after="60"/>
              <w:ind w:left="1440" w:right="85" w:hanging="1440"/>
              <w:rPr>
                <w:rFonts w:ascii="Arial" w:hAnsi="Arial" w:cs="Arial"/>
                <w:b/>
                <w:szCs w:val="20"/>
              </w:rPr>
            </w:pPr>
            <w:r w:rsidRPr="00FE40C1">
              <w:rPr>
                <w:rFonts w:ascii="Arial" w:hAnsi="Arial" w:cs="Arial"/>
                <w:b/>
                <w:szCs w:val="20"/>
              </w:rPr>
              <w:t>Time</w:t>
            </w:r>
          </w:p>
        </w:tc>
        <w:tc>
          <w:tcPr>
            <w:tcW w:w="1554" w:type="pct"/>
            <w:gridSpan w:val="2"/>
            <w:tcBorders>
              <w:top w:val="single" w:sz="4" w:space="0" w:color="auto"/>
              <w:left w:val="nil"/>
              <w:bottom w:val="nil"/>
              <w:right w:val="single" w:sz="4" w:space="0" w:color="auto"/>
            </w:tcBorders>
            <w:vAlign w:val="center"/>
          </w:tcPr>
          <w:p w14:paraId="6BEE0A0C" w14:textId="77777777" w:rsidR="009B1F84" w:rsidRPr="00FE40C1" w:rsidRDefault="009B1F84" w:rsidP="009B1F84">
            <w:pPr>
              <w:tabs>
                <w:tab w:val="left" w:pos="-720"/>
                <w:tab w:val="left" w:pos="0"/>
                <w:tab w:val="left" w:pos="720"/>
              </w:tabs>
              <w:spacing w:before="60" w:after="60"/>
              <w:ind w:left="1440" w:right="85" w:hanging="1440"/>
              <w:rPr>
                <w:rFonts w:ascii="Arial" w:hAnsi="Arial" w:cs="Arial"/>
                <w:b/>
                <w:szCs w:val="20"/>
              </w:rPr>
            </w:pPr>
            <w:r w:rsidRPr="00FE40C1">
              <w:rPr>
                <w:rFonts w:ascii="Arial" w:hAnsi="Arial" w:cs="Arial"/>
                <w:b/>
                <w:szCs w:val="20"/>
              </w:rPr>
              <w:t>Venue</w:t>
            </w:r>
          </w:p>
        </w:tc>
      </w:tr>
      <w:tr w:rsidR="00CD099A" w:rsidRPr="009239F4" w14:paraId="506CDC5F" w14:textId="77777777" w:rsidTr="00CD099A">
        <w:trPr>
          <w:trHeight w:val="133"/>
        </w:trPr>
        <w:tc>
          <w:tcPr>
            <w:tcW w:w="1058" w:type="pct"/>
            <w:vMerge/>
            <w:tcBorders>
              <w:left w:val="single" w:sz="4" w:space="0" w:color="auto"/>
              <w:right w:val="single" w:sz="4" w:space="0" w:color="auto"/>
            </w:tcBorders>
            <w:shd w:val="clear" w:color="auto" w:fill="D9D9D9"/>
            <w:vAlign w:val="center"/>
          </w:tcPr>
          <w:p w14:paraId="109CD84F" w14:textId="77777777" w:rsidR="00CD099A" w:rsidRPr="009239F4" w:rsidRDefault="00CD099A" w:rsidP="009B1F84">
            <w:pPr>
              <w:tabs>
                <w:tab w:val="left" w:pos="-720"/>
                <w:tab w:val="left" w:pos="0"/>
                <w:tab w:val="left" w:pos="720"/>
              </w:tabs>
              <w:ind w:left="1440" w:right="84" w:hanging="1440"/>
              <w:jc w:val="center"/>
              <w:rPr>
                <w:rFonts w:ascii="Arial" w:hAnsi="Arial" w:cs="Arial"/>
                <w:b/>
                <w:szCs w:val="20"/>
              </w:rPr>
            </w:pPr>
          </w:p>
        </w:tc>
        <w:tc>
          <w:tcPr>
            <w:tcW w:w="763" w:type="pct"/>
            <w:tcBorders>
              <w:top w:val="nil"/>
              <w:left w:val="single" w:sz="4" w:space="0" w:color="auto"/>
              <w:bottom w:val="nil"/>
              <w:right w:val="nil"/>
            </w:tcBorders>
            <w:vAlign w:val="center"/>
          </w:tcPr>
          <w:p w14:paraId="6C2315E1" w14:textId="77777777" w:rsidR="00CD099A" w:rsidRDefault="00CD099A" w:rsidP="007467CC">
            <w:pPr>
              <w:tabs>
                <w:tab w:val="left" w:pos="-720"/>
                <w:tab w:val="left" w:pos="0"/>
                <w:tab w:val="left" w:pos="720"/>
              </w:tabs>
              <w:spacing w:before="60" w:after="60"/>
              <w:ind w:left="1440" w:right="85" w:hanging="1440"/>
              <w:rPr>
                <w:rFonts w:ascii="Arial" w:hAnsi="Arial" w:cs="Arial"/>
                <w:szCs w:val="20"/>
              </w:rPr>
            </w:pPr>
            <w:r>
              <w:rPr>
                <w:rFonts w:ascii="Arial" w:hAnsi="Arial" w:cs="Arial"/>
                <w:szCs w:val="20"/>
              </w:rPr>
              <w:t>2</w:t>
            </w:r>
          </w:p>
        </w:tc>
        <w:tc>
          <w:tcPr>
            <w:tcW w:w="1625" w:type="pct"/>
            <w:gridSpan w:val="4"/>
            <w:tcBorders>
              <w:top w:val="nil"/>
              <w:left w:val="nil"/>
              <w:bottom w:val="nil"/>
              <w:right w:val="nil"/>
            </w:tcBorders>
            <w:vAlign w:val="center"/>
          </w:tcPr>
          <w:p w14:paraId="60D64486" w14:textId="73F38039" w:rsidR="00CD099A" w:rsidRPr="007467CC" w:rsidRDefault="00CD099A" w:rsidP="00CD099A">
            <w:pPr>
              <w:tabs>
                <w:tab w:val="left" w:pos="-720"/>
                <w:tab w:val="left" w:pos="0"/>
                <w:tab w:val="left" w:pos="720"/>
              </w:tabs>
              <w:spacing w:before="60" w:after="60"/>
              <w:ind w:right="85"/>
              <w:jc w:val="center"/>
              <w:rPr>
                <w:rFonts w:ascii="Arial" w:hAnsi="Arial" w:cs="Arial"/>
                <w:szCs w:val="20"/>
              </w:rPr>
            </w:pPr>
            <w:r>
              <w:rPr>
                <w:rFonts w:ascii="Arial" w:hAnsi="Arial" w:cs="Arial"/>
                <w:szCs w:val="20"/>
              </w:rPr>
              <w:t>See Semester 2 timetable</w:t>
            </w:r>
          </w:p>
        </w:tc>
        <w:tc>
          <w:tcPr>
            <w:tcW w:w="1554" w:type="pct"/>
            <w:gridSpan w:val="2"/>
            <w:tcBorders>
              <w:top w:val="nil"/>
              <w:left w:val="nil"/>
              <w:bottom w:val="nil"/>
              <w:right w:val="single" w:sz="4" w:space="0" w:color="auto"/>
            </w:tcBorders>
            <w:vAlign w:val="center"/>
          </w:tcPr>
          <w:p w14:paraId="170FB3AE" w14:textId="77777777" w:rsidR="00CD099A" w:rsidRPr="007467CC" w:rsidRDefault="00CD099A" w:rsidP="007467CC">
            <w:pPr>
              <w:tabs>
                <w:tab w:val="left" w:pos="-720"/>
                <w:tab w:val="left" w:pos="0"/>
                <w:tab w:val="left" w:pos="720"/>
              </w:tabs>
              <w:spacing w:before="60" w:after="60"/>
              <w:ind w:right="85"/>
              <w:rPr>
                <w:rFonts w:ascii="Arial" w:hAnsi="Arial" w:cs="Arial"/>
                <w:szCs w:val="20"/>
              </w:rPr>
            </w:pPr>
            <w:r>
              <w:rPr>
                <w:rFonts w:ascii="Arial" w:hAnsi="Arial" w:cs="Arial"/>
                <w:szCs w:val="20"/>
              </w:rPr>
              <w:t>Seminar Room, Irish Centre for Human Rights</w:t>
            </w:r>
          </w:p>
        </w:tc>
      </w:tr>
      <w:tr w:rsidR="009B1F84" w:rsidRPr="009239F4" w14:paraId="474C90F3" w14:textId="77777777" w:rsidTr="004351C7">
        <w:tc>
          <w:tcPr>
            <w:tcW w:w="1058" w:type="pct"/>
            <w:tcBorders>
              <w:top w:val="single" w:sz="4" w:space="0" w:color="auto"/>
              <w:left w:val="single" w:sz="4" w:space="0" w:color="auto"/>
              <w:bottom w:val="single" w:sz="4" w:space="0" w:color="auto"/>
              <w:right w:val="single" w:sz="4" w:space="0" w:color="auto"/>
            </w:tcBorders>
            <w:shd w:val="clear" w:color="auto" w:fill="D9D9D9"/>
            <w:vAlign w:val="center"/>
          </w:tcPr>
          <w:p w14:paraId="7B4F1142" w14:textId="77777777" w:rsidR="009B1F84" w:rsidRDefault="009B1F84" w:rsidP="009B1F84">
            <w:pPr>
              <w:tabs>
                <w:tab w:val="left" w:pos="-720"/>
              </w:tabs>
              <w:spacing w:before="100" w:beforeAutospacing="1" w:after="100" w:afterAutospacing="1"/>
              <w:ind w:right="84"/>
              <w:jc w:val="center"/>
              <w:rPr>
                <w:rFonts w:ascii="Arial" w:hAnsi="Arial" w:cs="Arial"/>
                <w:b/>
                <w:szCs w:val="20"/>
              </w:rPr>
            </w:pPr>
          </w:p>
          <w:p w14:paraId="23560EA2" w14:textId="77777777" w:rsidR="009B1F84" w:rsidRPr="009239F4" w:rsidRDefault="009B1F84" w:rsidP="009B1F84">
            <w:pPr>
              <w:tabs>
                <w:tab w:val="left" w:pos="-720"/>
              </w:tabs>
              <w:spacing w:before="100" w:beforeAutospacing="1" w:after="100" w:afterAutospacing="1"/>
              <w:ind w:right="84"/>
              <w:jc w:val="center"/>
              <w:rPr>
                <w:rFonts w:ascii="Arial" w:hAnsi="Arial" w:cs="Arial"/>
                <w:b/>
                <w:szCs w:val="20"/>
              </w:rPr>
            </w:pPr>
            <w:r w:rsidRPr="009239F4">
              <w:rPr>
                <w:rFonts w:ascii="Arial" w:hAnsi="Arial" w:cs="Arial"/>
                <w:b/>
                <w:szCs w:val="20"/>
              </w:rPr>
              <w:t>Overall Learning Outcomes</w:t>
            </w:r>
          </w:p>
        </w:tc>
        <w:tc>
          <w:tcPr>
            <w:tcW w:w="3942" w:type="pct"/>
            <w:gridSpan w:val="7"/>
            <w:tcBorders>
              <w:top w:val="single" w:sz="4" w:space="0" w:color="auto"/>
              <w:left w:val="single" w:sz="4" w:space="0" w:color="auto"/>
              <w:bottom w:val="single" w:sz="4" w:space="0" w:color="auto"/>
              <w:right w:val="single" w:sz="4" w:space="0" w:color="auto"/>
            </w:tcBorders>
          </w:tcPr>
          <w:p w14:paraId="377C27DB" w14:textId="77777777" w:rsidR="009B1F84" w:rsidRPr="00F06A0E" w:rsidRDefault="009B1F84" w:rsidP="009B1F84">
            <w:pPr>
              <w:spacing w:before="120" w:after="120"/>
              <w:rPr>
                <w:rFonts w:ascii="Arial" w:eastAsia="Arial Unicode MS" w:hAnsi="Arial" w:cs="Arial"/>
                <w:noProof/>
              </w:rPr>
            </w:pPr>
            <w:r w:rsidRPr="00F06A0E">
              <w:rPr>
                <w:rFonts w:ascii="Arial" w:eastAsia="Arial Unicode MS" w:hAnsi="Arial" w:cs="Arial"/>
                <w:noProof/>
              </w:rPr>
              <w:t xml:space="preserve">On successful completion of this course, </w:t>
            </w:r>
            <w:r>
              <w:rPr>
                <w:rFonts w:ascii="Arial" w:eastAsia="Arial Unicode MS" w:hAnsi="Arial" w:cs="Arial"/>
                <w:noProof/>
              </w:rPr>
              <w:t>you will</w:t>
            </w:r>
            <w:r w:rsidRPr="00F06A0E">
              <w:rPr>
                <w:rFonts w:ascii="Arial" w:eastAsia="Arial Unicode MS" w:hAnsi="Arial" w:cs="Arial"/>
                <w:noProof/>
              </w:rPr>
              <w:t>:</w:t>
            </w:r>
          </w:p>
          <w:p w14:paraId="3111CF95" w14:textId="77777777" w:rsidR="007D61FF" w:rsidRPr="004922B8" w:rsidRDefault="007D61FF" w:rsidP="007D61FF">
            <w:pPr>
              <w:numPr>
                <w:ilvl w:val="0"/>
                <w:numId w:val="1"/>
              </w:numPr>
              <w:tabs>
                <w:tab w:val="clear" w:pos="720"/>
                <w:tab w:val="num" w:pos="218"/>
              </w:tabs>
              <w:ind w:left="218" w:hanging="218"/>
              <w:jc w:val="both"/>
              <w:rPr>
                <w:rFonts w:ascii="Arial" w:hAnsi="Arial" w:cs="Arial"/>
              </w:rPr>
            </w:pPr>
            <w:r>
              <w:rPr>
                <w:rFonts w:ascii="Arial" w:hAnsi="Arial" w:cs="Arial"/>
              </w:rPr>
              <w:t xml:space="preserve">Demonstrate a thorough and nuanced understanding of </w:t>
            </w:r>
            <w:r w:rsidR="00B335AE">
              <w:rPr>
                <w:rFonts w:ascii="Arial" w:hAnsi="Arial" w:cs="Arial"/>
              </w:rPr>
              <w:t xml:space="preserve">climate justice, the human rights impacts of climate change and </w:t>
            </w:r>
            <w:r>
              <w:rPr>
                <w:rFonts w:ascii="Arial" w:hAnsi="Arial" w:cs="Arial"/>
              </w:rPr>
              <w:t>the</w:t>
            </w:r>
            <w:r w:rsidRPr="004922B8">
              <w:rPr>
                <w:rFonts w:ascii="Arial" w:hAnsi="Arial" w:cs="Arial"/>
              </w:rPr>
              <w:t xml:space="preserve"> debates concerning the role </w:t>
            </w:r>
            <w:r w:rsidR="00B335AE">
              <w:rPr>
                <w:rFonts w:ascii="Arial" w:hAnsi="Arial" w:cs="Arial"/>
              </w:rPr>
              <w:t xml:space="preserve">of </w:t>
            </w:r>
            <w:r w:rsidRPr="004922B8">
              <w:rPr>
                <w:rFonts w:ascii="Arial" w:hAnsi="Arial" w:cs="Arial"/>
              </w:rPr>
              <w:t xml:space="preserve">human rights </w:t>
            </w:r>
            <w:r w:rsidR="00B335AE">
              <w:rPr>
                <w:rFonts w:ascii="Arial" w:hAnsi="Arial" w:cs="Arial"/>
              </w:rPr>
              <w:t>in this context</w:t>
            </w:r>
          </w:p>
          <w:p w14:paraId="13554480" w14:textId="77777777" w:rsidR="007D61FF" w:rsidRDefault="00B335AE" w:rsidP="007D61FF">
            <w:pPr>
              <w:numPr>
                <w:ilvl w:val="0"/>
                <w:numId w:val="1"/>
              </w:numPr>
              <w:tabs>
                <w:tab w:val="clear" w:pos="720"/>
                <w:tab w:val="num" w:pos="218"/>
              </w:tabs>
              <w:ind w:left="218" w:hanging="218"/>
              <w:jc w:val="both"/>
              <w:rPr>
                <w:rFonts w:ascii="Arial" w:hAnsi="Arial" w:cs="Arial"/>
              </w:rPr>
            </w:pPr>
            <w:r>
              <w:rPr>
                <w:rFonts w:ascii="Arial" w:hAnsi="Arial" w:cs="Arial"/>
              </w:rPr>
              <w:t>Have d</w:t>
            </w:r>
            <w:r w:rsidR="007D61FF">
              <w:rPr>
                <w:rFonts w:ascii="Arial" w:hAnsi="Arial" w:cs="Arial"/>
              </w:rPr>
              <w:t>eveloped a</w:t>
            </w:r>
            <w:r>
              <w:rPr>
                <w:rFonts w:ascii="Arial" w:hAnsi="Arial" w:cs="Arial"/>
              </w:rPr>
              <w:t>n</w:t>
            </w:r>
            <w:r w:rsidR="007D61FF">
              <w:rPr>
                <w:rFonts w:ascii="Arial" w:hAnsi="Arial" w:cs="Arial"/>
              </w:rPr>
              <w:t xml:space="preserve"> awareness of legal</w:t>
            </w:r>
            <w:r w:rsidR="007D61FF" w:rsidRPr="004922B8">
              <w:rPr>
                <w:rFonts w:ascii="Arial" w:hAnsi="Arial" w:cs="Arial"/>
              </w:rPr>
              <w:t>, political and sociological issues aris</w:t>
            </w:r>
            <w:r>
              <w:rPr>
                <w:rFonts w:ascii="Arial" w:hAnsi="Arial" w:cs="Arial"/>
              </w:rPr>
              <w:t xml:space="preserve">ing in relation to climate change, environmental harms and </w:t>
            </w:r>
            <w:r w:rsidR="007D61FF" w:rsidRPr="004922B8">
              <w:rPr>
                <w:rFonts w:ascii="Arial" w:hAnsi="Arial" w:cs="Arial"/>
              </w:rPr>
              <w:t>human rights</w:t>
            </w:r>
          </w:p>
          <w:p w14:paraId="49318CE9" w14:textId="77777777" w:rsidR="007D61FF" w:rsidRDefault="007D61FF" w:rsidP="007D61FF">
            <w:pPr>
              <w:numPr>
                <w:ilvl w:val="0"/>
                <w:numId w:val="1"/>
              </w:numPr>
              <w:tabs>
                <w:tab w:val="clear" w:pos="720"/>
                <w:tab w:val="num" w:pos="218"/>
              </w:tabs>
              <w:ind w:left="218" w:hanging="218"/>
              <w:jc w:val="both"/>
              <w:rPr>
                <w:rFonts w:ascii="Arial" w:hAnsi="Arial" w:cs="Arial"/>
              </w:rPr>
            </w:pPr>
            <w:r>
              <w:rPr>
                <w:rFonts w:ascii="Arial" w:hAnsi="Arial" w:cs="Arial"/>
              </w:rPr>
              <w:t xml:space="preserve">Have a knowledge of </w:t>
            </w:r>
            <w:r w:rsidRPr="004922B8">
              <w:rPr>
                <w:rFonts w:ascii="Arial" w:hAnsi="Arial" w:cs="Arial"/>
              </w:rPr>
              <w:t xml:space="preserve">the </w:t>
            </w:r>
            <w:r>
              <w:rPr>
                <w:rFonts w:ascii="Arial" w:hAnsi="Arial" w:cs="Arial"/>
              </w:rPr>
              <w:t xml:space="preserve">international and domestic efforts </w:t>
            </w:r>
            <w:r w:rsidR="00B335AE">
              <w:rPr>
                <w:rFonts w:ascii="Arial" w:hAnsi="Arial" w:cs="Arial"/>
              </w:rPr>
              <w:t xml:space="preserve">aimed at ensuring climate justice, including through judicial remedies </w:t>
            </w:r>
            <w:r w:rsidRPr="004922B8">
              <w:rPr>
                <w:rFonts w:ascii="Arial" w:hAnsi="Arial" w:cs="Arial"/>
              </w:rPr>
              <w:t xml:space="preserve">  </w:t>
            </w:r>
          </w:p>
          <w:p w14:paraId="0CF79925" w14:textId="77777777" w:rsidR="007D61FF" w:rsidRPr="00610845" w:rsidRDefault="007D61FF" w:rsidP="007D61FF">
            <w:pPr>
              <w:numPr>
                <w:ilvl w:val="0"/>
                <w:numId w:val="1"/>
              </w:numPr>
              <w:tabs>
                <w:tab w:val="clear" w:pos="720"/>
                <w:tab w:val="num" w:pos="218"/>
              </w:tabs>
              <w:ind w:left="218" w:hanging="218"/>
              <w:jc w:val="both"/>
              <w:rPr>
                <w:rFonts w:ascii="Arial" w:hAnsi="Arial" w:cs="Arial"/>
              </w:rPr>
            </w:pPr>
            <w:r>
              <w:rPr>
                <w:rFonts w:ascii="Arial" w:hAnsi="Arial" w:cs="Arial"/>
              </w:rPr>
              <w:t>Be a</w:t>
            </w:r>
            <w:r w:rsidRPr="004922B8">
              <w:rPr>
                <w:rFonts w:ascii="Arial" w:hAnsi="Arial" w:cs="Arial"/>
              </w:rPr>
              <w:t>ble to conduct comprehensive research focused on this subject area and will be familiar with the major literature and policy documents</w:t>
            </w:r>
            <w:r>
              <w:rPr>
                <w:rFonts w:ascii="Arial" w:hAnsi="Arial" w:cs="Arial"/>
              </w:rPr>
              <w:t xml:space="preserve"> and emerging legal instruments</w:t>
            </w:r>
          </w:p>
          <w:p w14:paraId="11BAD365" w14:textId="77777777" w:rsidR="009B1F84" w:rsidRPr="00796072" w:rsidRDefault="009B1F84" w:rsidP="009B1F84">
            <w:pPr>
              <w:ind w:left="360"/>
              <w:jc w:val="both"/>
              <w:rPr>
                <w:rFonts w:ascii="Arial" w:eastAsia="Arial Unicode MS" w:hAnsi="Arial" w:cs="Arial"/>
                <w:noProof/>
              </w:rPr>
            </w:pPr>
          </w:p>
        </w:tc>
      </w:tr>
      <w:tr w:rsidR="009B1F84" w:rsidRPr="001527C1" w14:paraId="1198FAF9" w14:textId="77777777" w:rsidTr="004351C7">
        <w:trPr>
          <w:trHeight w:val="766"/>
        </w:trPr>
        <w:tc>
          <w:tcPr>
            <w:tcW w:w="1058" w:type="pct"/>
            <w:tcBorders>
              <w:top w:val="single" w:sz="4" w:space="0" w:color="auto"/>
              <w:left w:val="single" w:sz="4" w:space="0" w:color="auto"/>
              <w:bottom w:val="single" w:sz="4" w:space="0" w:color="auto"/>
              <w:right w:val="single" w:sz="4" w:space="0" w:color="auto"/>
            </w:tcBorders>
            <w:shd w:val="clear" w:color="auto" w:fill="D9D9D9"/>
            <w:vAlign w:val="center"/>
          </w:tcPr>
          <w:p w14:paraId="5F618A26" w14:textId="77777777" w:rsidR="009B1F84" w:rsidRPr="009239F4" w:rsidRDefault="009B1F84" w:rsidP="009B1F84">
            <w:pPr>
              <w:tabs>
                <w:tab w:val="left" w:pos="-720"/>
              </w:tabs>
              <w:spacing w:before="100" w:beforeAutospacing="1" w:after="100" w:afterAutospacing="1"/>
              <w:ind w:right="84"/>
              <w:jc w:val="center"/>
              <w:rPr>
                <w:rFonts w:ascii="Arial" w:hAnsi="Arial" w:cs="Arial"/>
                <w:szCs w:val="20"/>
              </w:rPr>
            </w:pPr>
            <w:r w:rsidRPr="009239F4">
              <w:rPr>
                <w:rFonts w:ascii="Arial" w:hAnsi="Arial" w:cs="Arial"/>
                <w:b/>
                <w:szCs w:val="20"/>
              </w:rPr>
              <w:t>Format</w:t>
            </w:r>
          </w:p>
        </w:tc>
        <w:tc>
          <w:tcPr>
            <w:tcW w:w="3942" w:type="pct"/>
            <w:gridSpan w:val="7"/>
            <w:tcBorders>
              <w:top w:val="single" w:sz="4" w:space="0" w:color="auto"/>
              <w:left w:val="single" w:sz="4" w:space="0" w:color="auto"/>
              <w:bottom w:val="single" w:sz="4" w:space="0" w:color="auto"/>
              <w:right w:val="single" w:sz="4" w:space="0" w:color="auto"/>
            </w:tcBorders>
            <w:vAlign w:val="center"/>
          </w:tcPr>
          <w:p w14:paraId="3BFDC5C5" w14:textId="77777777" w:rsidR="009B1F84" w:rsidRPr="004922B8" w:rsidRDefault="009B1F84" w:rsidP="007D61FF">
            <w:pPr>
              <w:tabs>
                <w:tab w:val="left" w:pos="-720"/>
              </w:tabs>
              <w:spacing w:before="60" w:after="60"/>
              <w:ind w:right="85"/>
              <w:rPr>
                <w:rFonts w:ascii="Arial" w:hAnsi="Arial" w:cs="Arial"/>
                <w:szCs w:val="20"/>
              </w:rPr>
            </w:pPr>
            <w:r w:rsidRPr="004922B8">
              <w:rPr>
                <w:rFonts w:ascii="Arial" w:hAnsi="Arial" w:cs="Arial"/>
              </w:rPr>
              <w:t xml:space="preserve">The course will be taught by weekly seminars, each three hours, over </w:t>
            </w:r>
            <w:r w:rsidR="00272E9D">
              <w:rPr>
                <w:rFonts w:ascii="Arial" w:hAnsi="Arial" w:cs="Arial"/>
              </w:rPr>
              <w:t>four</w:t>
            </w:r>
            <w:r w:rsidRPr="004922B8">
              <w:rPr>
                <w:rFonts w:ascii="Arial" w:hAnsi="Arial" w:cs="Arial"/>
              </w:rPr>
              <w:t xml:space="preserve"> weeks</w:t>
            </w:r>
            <w:r w:rsidRPr="004922B8">
              <w:rPr>
                <w:rFonts w:ascii="Arial" w:hAnsi="Arial" w:cs="Arial"/>
                <w:szCs w:val="20"/>
              </w:rPr>
              <w:t>. Students are</w:t>
            </w:r>
            <w:r w:rsidRPr="004922B8">
              <w:rPr>
                <w:rFonts w:ascii="Arial" w:hAnsi="Arial" w:cs="Arial"/>
              </w:rPr>
              <w:t xml:space="preserve"> expected to have read all prescribed readings in advance of each seminar, thus requiring independent study of 8-10 hours </w:t>
            </w:r>
            <w:r w:rsidRPr="004922B8">
              <w:rPr>
                <w:rFonts w:ascii="Arial" w:hAnsi="Arial" w:cs="Arial"/>
                <w:szCs w:val="20"/>
              </w:rPr>
              <w:t xml:space="preserve">each week, and </w:t>
            </w:r>
            <w:r w:rsidRPr="004922B8">
              <w:rPr>
                <w:rFonts w:ascii="Arial" w:hAnsi="Arial" w:cs="Arial"/>
              </w:rPr>
              <w:t>will be expected to engage actively in discussion and to participate in various exercises and activities.</w:t>
            </w:r>
            <w:r w:rsidRPr="004922B8">
              <w:rPr>
                <w:rFonts w:ascii="Arial" w:hAnsi="Arial" w:cs="Arial"/>
                <w:szCs w:val="20"/>
              </w:rPr>
              <w:t xml:space="preserve"> </w:t>
            </w:r>
          </w:p>
        </w:tc>
      </w:tr>
      <w:tr w:rsidR="009B1F84" w:rsidRPr="009239F4" w14:paraId="00BB5A3A" w14:textId="77777777" w:rsidTr="004351C7">
        <w:trPr>
          <w:trHeight w:val="766"/>
        </w:trPr>
        <w:tc>
          <w:tcPr>
            <w:tcW w:w="1058" w:type="pct"/>
            <w:tcBorders>
              <w:top w:val="single" w:sz="4" w:space="0" w:color="auto"/>
              <w:left w:val="single" w:sz="4" w:space="0" w:color="auto"/>
              <w:bottom w:val="single" w:sz="4" w:space="0" w:color="auto"/>
              <w:right w:val="single" w:sz="4" w:space="0" w:color="auto"/>
            </w:tcBorders>
            <w:shd w:val="clear" w:color="auto" w:fill="D9D9D9"/>
            <w:vAlign w:val="center"/>
          </w:tcPr>
          <w:p w14:paraId="34E0E538" w14:textId="77777777" w:rsidR="009B1F84" w:rsidRPr="009239F4" w:rsidRDefault="009B1F84" w:rsidP="009B1F84">
            <w:pPr>
              <w:tabs>
                <w:tab w:val="left" w:pos="-720"/>
              </w:tabs>
              <w:spacing w:before="100" w:beforeAutospacing="1" w:after="100" w:afterAutospacing="1"/>
              <w:ind w:right="84"/>
              <w:jc w:val="center"/>
              <w:rPr>
                <w:rFonts w:ascii="Arial" w:hAnsi="Arial" w:cs="Arial"/>
                <w:b/>
                <w:szCs w:val="20"/>
              </w:rPr>
            </w:pPr>
            <w:r w:rsidRPr="009239F4">
              <w:rPr>
                <w:rFonts w:ascii="Arial" w:hAnsi="Arial" w:cs="Arial"/>
                <w:b/>
                <w:szCs w:val="20"/>
              </w:rPr>
              <w:t>Programme</w:t>
            </w:r>
            <w:r>
              <w:rPr>
                <w:rFonts w:ascii="Arial" w:hAnsi="Arial" w:cs="Arial"/>
                <w:b/>
                <w:szCs w:val="20"/>
              </w:rPr>
              <w:t>(</w:t>
            </w:r>
            <w:r w:rsidRPr="009239F4">
              <w:rPr>
                <w:rFonts w:ascii="Arial" w:hAnsi="Arial" w:cs="Arial"/>
                <w:b/>
                <w:szCs w:val="20"/>
              </w:rPr>
              <w:t>s</w:t>
            </w:r>
            <w:r>
              <w:rPr>
                <w:rFonts w:ascii="Arial" w:hAnsi="Arial" w:cs="Arial"/>
                <w:b/>
                <w:szCs w:val="20"/>
              </w:rPr>
              <w:t>)</w:t>
            </w:r>
          </w:p>
        </w:tc>
        <w:tc>
          <w:tcPr>
            <w:tcW w:w="3942" w:type="pct"/>
            <w:gridSpan w:val="7"/>
            <w:tcBorders>
              <w:top w:val="single" w:sz="4" w:space="0" w:color="auto"/>
              <w:left w:val="single" w:sz="4" w:space="0" w:color="auto"/>
              <w:bottom w:val="single" w:sz="4" w:space="0" w:color="auto"/>
              <w:right w:val="single" w:sz="4" w:space="0" w:color="auto"/>
            </w:tcBorders>
            <w:vAlign w:val="center"/>
          </w:tcPr>
          <w:p w14:paraId="32C6691D" w14:textId="77777777" w:rsidR="009B1F84" w:rsidRPr="009239F4" w:rsidRDefault="009B1F84" w:rsidP="00D37DE4">
            <w:pPr>
              <w:tabs>
                <w:tab w:val="left" w:pos="-720"/>
              </w:tabs>
              <w:spacing w:before="60" w:after="60"/>
              <w:ind w:right="85"/>
              <w:rPr>
                <w:rFonts w:ascii="Arial" w:hAnsi="Arial" w:cs="Arial"/>
                <w:szCs w:val="20"/>
              </w:rPr>
            </w:pPr>
            <w:r>
              <w:rPr>
                <w:rFonts w:ascii="Arial" w:hAnsi="Arial" w:cs="Arial"/>
                <w:szCs w:val="20"/>
              </w:rPr>
              <w:t xml:space="preserve">LL.M in International Human Rights Law, </w:t>
            </w:r>
            <w:r w:rsidR="00D37DE4">
              <w:rPr>
                <w:rFonts w:ascii="Arial" w:hAnsi="Arial" w:cs="Arial"/>
                <w:szCs w:val="20"/>
              </w:rPr>
              <w:t>LL.M in International Criminal Law, LL.M in Peace Support, Humanitarian Law and Conflict</w:t>
            </w:r>
            <w:r>
              <w:rPr>
                <w:rFonts w:ascii="Arial" w:hAnsi="Arial" w:cs="Arial"/>
                <w:szCs w:val="20"/>
              </w:rPr>
              <w:t xml:space="preserve">, full-time and part-time. </w:t>
            </w:r>
          </w:p>
        </w:tc>
      </w:tr>
      <w:tr w:rsidR="009B1F84" w:rsidRPr="009239F4" w14:paraId="378CE3AF" w14:textId="77777777" w:rsidTr="004351C7">
        <w:trPr>
          <w:trHeight w:val="766"/>
        </w:trPr>
        <w:tc>
          <w:tcPr>
            <w:tcW w:w="1058" w:type="pct"/>
            <w:tcBorders>
              <w:top w:val="single" w:sz="4" w:space="0" w:color="auto"/>
              <w:left w:val="single" w:sz="4" w:space="0" w:color="auto"/>
              <w:bottom w:val="single" w:sz="4" w:space="0" w:color="auto"/>
              <w:right w:val="single" w:sz="4" w:space="0" w:color="auto"/>
            </w:tcBorders>
            <w:shd w:val="clear" w:color="auto" w:fill="D9D9D9"/>
            <w:vAlign w:val="center"/>
          </w:tcPr>
          <w:p w14:paraId="2E810AA2" w14:textId="77777777" w:rsidR="009B1F84" w:rsidRPr="009239F4" w:rsidRDefault="009B1F84" w:rsidP="009B1F84">
            <w:pPr>
              <w:tabs>
                <w:tab w:val="left" w:pos="-720"/>
              </w:tabs>
              <w:spacing w:before="100" w:beforeAutospacing="1" w:after="100" w:afterAutospacing="1"/>
              <w:ind w:right="84"/>
              <w:jc w:val="center"/>
              <w:rPr>
                <w:rFonts w:ascii="Arial" w:hAnsi="Arial" w:cs="Arial"/>
                <w:b/>
                <w:szCs w:val="20"/>
              </w:rPr>
            </w:pPr>
            <w:r w:rsidRPr="009239F4">
              <w:rPr>
                <w:rFonts w:ascii="Arial" w:hAnsi="Arial" w:cs="Arial"/>
                <w:b/>
                <w:szCs w:val="20"/>
              </w:rPr>
              <w:t>Course Material</w:t>
            </w:r>
          </w:p>
        </w:tc>
        <w:tc>
          <w:tcPr>
            <w:tcW w:w="3942" w:type="pct"/>
            <w:gridSpan w:val="7"/>
            <w:tcBorders>
              <w:top w:val="single" w:sz="4" w:space="0" w:color="auto"/>
              <w:left w:val="single" w:sz="4" w:space="0" w:color="auto"/>
              <w:bottom w:val="single" w:sz="4" w:space="0" w:color="auto"/>
              <w:right w:val="single" w:sz="4" w:space="0" w:color="auto"/>
            </w:tcBorders>
            <w:vAlign w:val="center"/>
          </w:tcPr>
          <w:p w14:paraId="2781BF19" w14:textId="77777777" w:rsidR="009B1F84" w:rsidRPr="009239F4" w:rsidRDefault="009B1F84" w:rsidP="00506C43">
            <w:pPr>
              <w:tabs>
                <w:tab w:val="left" w:pos="-720"/>
              </w:tabs>
              <w:spacing w:before="120" w:after="120"/>
              <w:ind w:right="85"/>
              <w:rPr>
                <w:rFonts w:ascii="Arial" w:hAnsi="Arial" w:cs="Arial"/>
                <w:szCs w:val="20"/>
              </w:rPr>
            </w:pPr>
            <w:r>
              <w:rPr>
                <w:rFonts w:ascii="Arial" w:hAnsi="Arial" w:cs="Arial"/>
                <w:szCs w:val="20"/>
              </w:rPr>
              <w:t xml:space="preserve">Syllabus </w:t>
            </w:r>
            <w:r w:rsidR="00506C43">
              <w:rPr>
                <w:rFonts w:ascii="Arial" w:hAnsi="Arial" w:cs="Arial"/>
                <w:szCs w:val="20"/>
              </w:rPr>
              <w:t>is</w:t>
            </w:r>
            <w:r>
              <w:rPr>
                <w:rFonts w:ascii="Arial" w:hAnsi="Arial" w:cs="Arial"/>
                <w:szCs w:val="20"/>
              </w:rPr>
              <w:t xml:space="preserve"> available on the website of the Irish Centre for Human Rights (</w:t>
            </w:r>
            <w:hyperlink r:id="rId8" w:history="1">
              <w:r w:rsidR="00506C43" w:rsidRPr="00CE146D">
                <w:rPr>
                  <w:rStyle w:val="Hyperlink"/>
                  <w:rFonts w:ascii="Arial" w:hAnsi="Arial" w:cs="Arial"/>
                  <w:szCs w:val="20"/>
                </w:rPr>
                <w:t>http://www.nuigalway.ie/irish-centre-human-rights/academics/llmprogrammes/modules/businesshr/</w:t>
              </w:r>
            </w:hyperlink>
            <w:r>
              <w:rPr>
                <w:rFonts w:ascii="Arial" w:hAnsi="Arial" w:cs="Arial"/>
                <w:szCs w:val="20"/>
              </w:rPr>
              <w:t>)</w:t>
            </w:r>
            <w:r w:rsidR="00506C43">
              <w:rPr>
                <w:rFonts w:ascii="Arial" w:hAnsi="Arial" w:cs="Arial"/>
                <w:szCs w:val="20"/>
              </w:rPr>
              <w:t xml:space="preserve"> </w:t>
            </w:r>
            <w:r>
              <w:rPr>
                <w:rFonts w:ascii="Arial" w:hAnsi="Arial" w:cs="Arial"/>
                <w:szCs w:val="20"/>
              </w:rPr>
              <w:t xml:space="preserve">and can be </w:t>
            </w:r>
            <w:r>
              <w:rPr>
                <w:rFonts w:ascii="Arial" w:hAnsi="Arial" w:cs="Arial"/>
                <w:szCs w:val="20"/>
              </w:rPr>
              <w:lastRenderedPageBreak/>
              <w:t xml:space="preserve">downloaded from Blackboard </w:t>
            </w:r>
            <w:r w:rsidRPr="009239F4">
              <w:rPr>
                <w:rFonts w:ascii="Arial" w:hAnsi="Arial" w:cs="Arial"/>
                <w:szCs w:val="20"/>
              </w:rPr>
              <w:t xml:space="preserve">at </w:t>
            </w:r>
            <w:hyperlink r:id="rId9" w:history="1">
              <w:r w:rsidRPr="009239F4">
                <w:rPr>
                  <w:rStyle w:val="Hyperlink"/>
                  <w:rFonts w:ascii="Arial" w:hAnsi="Arial" w:cs="Arial"/>
                  <w:szCs w:val="20"/>
                </w:rPr>
                <w:t>http://blackboard.nuigalway.ie</w:t>
              </w:r>
            </w:hyperlink>
            <w:r>
              <w:rPr>
                <w:rFonts w:ascii="Arial" w:hAnsi="Arial" w:cs="Arial"/>
                <w:szCs w:val="20"/>
              </w:rPr>
              <w:t xml:space="preserve">. </w:t>
            </w:r>
          </w:p>
        </w:tc>
      </w:tr>
      <w:tr w:rsidR="009B1F84" w:rsidRPr="009239F4" w14:paraId="59549D8C" w14:textId="77777777" w:rsidTr="004351C7">
        <w:tc>
          <w:tcPr>
            <w:tcW w:w="1058" w:type="pct"/>
            <w:tcBorders>
              <w:top w:val="single" w:sz="4" w:space="0" w:color="auto"/>
              <w:left w:val="single" w:sz="4" w:space="0" w:color="auto"/>
              <w:bottom w:val="single" w:sz="4" w:space="0" w:color="auto"/>
              <w:right w:val="single" w:sz="4" w:space="0" w:color="auto"/>
            </w:tcBorders>
            <w:shd w:val="clear" w:color="auto" w:fill="D9D9D9"/>
            <w:vAlign w:val="center"/>
          </w:tcPr>
          <w:p w14:paraId="3307783F" w14:textId="77777777" w:rsidR="009B1F84" w:rsidRPr="009239F4" w:rsidRDefault="009B1F84" w:rsidP="009B1F84">
            <w:pPr>
              <w:tabs>
                <w:tab w:val="left" w:pos="-720"/>
              </w:tabs>
              <w:spacing w:before="100" w:beforeAutospacing="1" w:after="100" w:afterAutospacing="1"/>
              <w:ind w:right="84"/>
              <w:jc w:val="center"/>
              <w:rPr>
                <w:rFonts w:ascii="Arial" w:hAnsi="Arial" w:cs="Arial"/>
                <w:b/>
                <w:szCs w:val="20"/>
              </w:rPr>
            </w:pPr>
            <w:r w:rsidRPr="009239F4">
              <w:rPr>
                <w:rFonts w:ascii="Arial" w:hAnsi="Arial" w:cs="Arial"/>
                <w:b/>
                <w:szCs w:val="20"/>
              </w:rPr>
              <w:lastRenderedPageBreak/>
              <w:t>Assessment</w:t>
            </w:r>
          </w:p>
        </w:tc>
        <w:tc>
          <w:tcPr>
            <w:tcW w:w="3942" w:type="pct"/>
            <w:gridSpan w:val="7"/>
            <w:tcBorders>
              <w:top w:val="single" w:sz="4" w:space="0" w:color="auto"/>
              <w:left w:val="single" w:sz="4" w:space="0" w:color="auto"/>
              <w:bottom w:val="single" w:sz="4" w:space="0" w:color="auto"/>
              <w:right w:val="single" w:sz="4" w:space="0" w:color="auto"/>
            </w:tcBorders>
          </w:tcPr>
          <w:p w14:paraId="409CC594" w14:textId="77777777" w:rsidR="009B1F84" w:rsidRPr="00275B95" w:rsidRDefault="001F7188" w:rsidP="007D61FF">
            <w:pPr>
              <w:tabs>
                <w:tab w:val="left" w:pos="-720"/>
                <w:tab w:val="left" w:pos="0"/>
                <w:tab w:val="num" w:pos="1080"/>
              </w:tabs>
              <w:spacing w:before="120" w:after="120"/>
              <w:ind w:right="85"/>
              <w:jc w:val="both"/>
              <w:rPr>
                <w:rFonts w:ascii="Arial" w:hAnsi="Arial" w:cs="Arial"/>
                <w:szCs w:val="20"/>
              </w:rPr>
            </w:pPr>
            <w:r w:rsidRPr="00275B95">
              <w:rPr>
                <w:rFonts w:ascii="Arial" w:hAnsi="Arial" w:cs="Arial"/>
              </w:rPr>
              <w:t>Evaluation is undertaken through the submission of a</w:t>
            </w:r>
            <w:r>
              <w:rPr>
                <w:rFonts w:ascii="Arial" w:hAnsi="Arial" w:cs="Arial"/>
              </w:rPr>
              <w:t xml:space="preserve"> written </w:t>
            </w:r>
            <w:r w:rsidRPr="00275B95">
              <w:rPr>
                <w:rFonts w:ascii="Arial" w:hAnsi="Arial" w:cs="Arial"/>
              </w:rPr>
              <w:t xml:space="preserve">essay </w:t>
            </w:r>
            <w:r>
              <w:rPr>
                <w:rFonts w:ascii="Arial" w:hAnsi="Arial" w:cs="Arial"/>
              </w:rPr>
              <w:t xml:space="preserve">(2,500 words, including footnotes, excluding table of contents, bibliography etc.). Essays should </w:t>
            </w:r>
            <w:r w:rsidRPr="00275B95">
              <w:rPr>
                <w:rFonts w:ascii="Arial" w:hAnsi="Arial" w:cs="Arial"/>
              </w:rPr>
              <w:t>demonstrate significant research</w:t>
            </w:r>
            <w:r>
              <w:rPr>
                <w:rFonts w:ascii="Arial" w:hAnsi="Arial" w:cs="Arial"/>
              </w:rPr>
              <w:t>,</w:t>
            </w:r>
            <w:r w:rsidRPr="00275B95">
              <w:rPr>
                <w:rFonts w:ascii="Arial" w:hAnsi="Arial" w:cs="Arial"/>
              </w:rPr>
              <w:t xml:space="preserve"> </w:t>
            </w:r>
            <w:r>
              <w:rPr>
                <w:rFonts w:ascii="Arial" w:hAnsi="Arial" w:cs="Arial"/>
              </w:rPr>
              <w:t>familiarity with the literature, independent thought and critical analysis</w:t>
            </w:r>
            <w:r w:rsidRPr="00275B95">
              <w:rPr>
                <w:rFonts w:ascii="Arial" w:hAnsi="Arial" w:cs="Arial"/>
              </w:rPr>
              <w:t>.</w:t>
            </w:r>
            <w:r>
              <w:rPr>
                <w:rFonts w:ascii="Arial" w:hAnsi="Arial" w:cs="Arial"/>
              </w:rPr>
              <w:t xml:space="preserve"> Essays are to be submitted in hardcopy and electronically via Blackboard. </w:t>
            </w:r>
            <w:r>
              <w:rPr>
                <w:rFonts w:ascii="Arial" w:hAnsi="Arial" w:cs="Arial"/>
                <w:szCs w:val="20"/>
              </w:rPr>
              <w:t>Submission date is set out in the general ‘Guidelines for LLM students’.</w:t>
            </w:r>
          </w:p>
        </w:tc>
      </w:tr>
      <w:tr w:rsidR="009B1F84" w:rsidRPr="009239F4" w14:paraId="43831C1F" w14:textId="77777777" w:rsidTr="004351C7">
        <w:tc>
          <w:tcPr>
            <w:tcW w:w="1058" w:type="pct"/>
            <w:tcBorders>
              <w:top w:val="single" w:sz="4" w:space="0" w:color="auto"/>
              <w:left w:val="single" w:sz="4" w:space="0" w:color="auto"/>
              <w:bottom w:val="single" w:sz="4" w:space="0" w:color="auto"/>
              <w:right w:val="single" w:sz="4" w:space="0" w:color="auto"/>
            </w:tcBorders>
            <w:shd w:val="clear" w:color="auto" w:fill="D9D9D9"/>
            <w:vAlign w:val="center"/>
          </w:tcPr>
          <w:p w14:paraId="1E2CFB73" w14:textId="77777777" w:rsidR="009B1F84" w:rsidRPr="009239F4" w:rsidRDefault="009B1F84" w:rsidP="009B1F84">
            <w:pPr>
              <w:tabs>
                <w:tab w:val="left" w:pos="-720"/>
              </w:tabs>
              <w:spacing w:before="100" w:beforeAutospacing="1" w:after="100" w:afterAutospacing="1"/>
              <w:ind w:right="85"/>
              <w:jc w:val="center"/>
              <w:rPr>
                <w:rFonts w:ascii="Arial" w:hAnsi="Arial" w:cs="Arial"/>
                <w:b/>
                <w:szCs w:val="20"/>
              </w:rPr>
            </w:pPr>
            <w:r w:rsidRPr="009239F4">
              <w:rPr>
                <w:rFonts w:ascii="Arial" w:hAnsi="Arial" w:cs="Arial"/>
                <w:b/>
                <w:szCs w:val="20"/>
              </w:rPr>
              <w:t>Workload</w:t>
            </w:r>
            <w:r>
              <w:rPr>
                <w:rFonts w:ascii="Arial" w:hAnsi="Arial" w:cs="Arial"/>
                <w:b/>
                <w:szCs w:val="20"/>
              </w:rPr>
              <w:t xml:space="preserve"> hours</w:t>
            </w:r>
          </w:p>
        </w:tc>
        <w:tc>
          <w:tcPr>
            <w:tcW w:w="3942" w:type="pct"/>
            <w:gridSpan w:val="7"/>
            <w:tcBorders>
              <w:top w:val="single" w:sz="4" w:space="0" w:color="auto"/>
              <w:left w:val="single" w:sz="4" w:space="0" w:color="auto"/>
              <w:bottom w:val="single" w:sz="4" w:space="0" w:color="auto"/>
              <w:right w:val="single" w:sz="4" w:space="0" w:color="auto"/>
            </w:tcBorders>
          </w:tcPr>
          <w:p w14:paraId="3EB71A5B" w14:textId="77777777" w:rsidR="00583D26" w:rsidRPr="00583D26" w:rsidRDefault="00583D26" w:rsidP="00583D26">
            <w:pPr>
              <w:spacing w:before="120"/>
              <w:rPr>
                <w:rFonts w:ascii="Arial" w:hAnsi="Arial" w:cs="Arial"/>
              </w:rPr>
            </w:pPr>
            <w:r w:rsidRPr="004922B8">
              <w:rPr>
                <w:rFonts w:ascii="Arial" w:hAnsi="Arial" w:cs="Arial"/>
              </w:rPr>
              <w:t xml:space="preserve">The course will be taught by weekly seminars, each three hours, over </w:t>
            </w:r>
            <w:r>
              <w:rPr>
                <w:rFonts w:ascii="Arial" w:hAnsi="Arial" w:cs="Arial"/>
              </w:rPr>
              <w:t>four</w:t>
            </w:r>
            <w:r w:rsidRPr="004922B8">
              <w:rPr>
                <w:rFonts w:ascii="Arial" w:hAnsi="Arial" w:cs="Arial"/>
              </w:rPr>
              <w:t xml:space="preserve"> weeks</w:t>
            </w:r>
            <w:r w:rsidRPr="004922B8">
              <w:rPr>
                <w:rFonts w:ascii="Arial" w:hAnsi="Arial" w:cs="Arial"/>
                <w:szCs w:val="20"/>
              </w:rPr>
              <w:t>. Students are</w:t>
            </w:r>
            <w:r w:rsidRPr="004922B8">
              <w:rPr>
                <w:rFonts w:ascii="Arial" w:hAnsi="Arial" w:cs="Arial"/>
              </w:rPr>
              <w:t xml:space="preserve"> expected to have read all prescribed readings in advance of each seminar, thus requiring independent study of 8-10 hours </w:t>
            </w:r>
            <w:r w:rsidRPr="004922B8">
              <w:rPr>
                <w:rFonts w:ascii="Arial" w:hAnsi="Arial" w:cs="Arial"/>
                <w:szCs w:val="20"/>
              </w:rPr>
              <w:t xml:space="preserve">each week, and </w:t>
            </w:r>
            <w:r w:rsidRPr="004922B8">
              <w:rPr>
                <w:rFonts w:ascii="Arial" w:hAnsi="Arial" w:cs="Arial"/>
              </w:rPr>
              <w:t>will be expected to engage actively in discussion and to participate in various exercises and activities.</w:t>
            </w:r>
            <w:r>
              <w:rPr>
                <w:rFonts w:ascii="Arial" w:hAnsi="Arial" w:cs="Arial"/>
              </w:rPr>
              <w:t xml:space="preserve"> The assignment requirement will also generate workload hours of approximately 75 hours.</w:t>
            </w:r>
          </w:p>
          <w:p w14:paraId="117AFC03" w14:textId="77777777" w:rsidR="009B1F84" w:rsidRPr="009239F4" w:rsidRDefault="009B1F84" w:rsidP="002A4EE1">
            <w:pPr>
              <w:tabs>
                <w:tab w:val="right" w:pos="-720"/>
                <w:tab w:val="left" w:pos="0"/>
                <w:tab w:val="num" w:pos="1080"/>
                <w:tab w:val="left" w:pos="3616"/>
              </w:tabs>
              <w:spacing w:before="120" w:after="120"/>
              <w:ind w:right="85"/>
              <w:rPr>
                <w:rFonts w:ascii="Arial" w:hAnsi="Arial" w:cs="Arial"/>
                <w:szCs w:val="20"/>
              </w:rPr>
            </w:pPr>
            <w:r w:rsidRPr="009239F4">
              <w:rPr>
                <w:rFonts w:ascii="Arial" w:hAnsi="Arial" w:cs="Arial"/>
                <w:szCs w:val="20"/>
              </w:rPr>
              <w:t>Credit weighting:</w:t>
            </w:r>
            <w:r w:rsidRPr="009239F4">
              <w:rPr>
                <w:rFonts w:ascii="Arial" w:hAnsi="Arial" w:cs="Arial"/>
                <w:szCs w:val="20"/>
              </w:rPr>
              <w:tab/>
            </w:r>
            <w:r>
              <w:rPr>
                <w:rFonts w:ascii="Arial" w:hAnsi="Arial" w:cs="Arial"/>
                <w:szCs w:val="20"/>
              </w:rPr>
              <w:tab/>
              <w:t xml:space="preserve"> </w:t>
            </w:r>
            <w:r w:rsidR="00111B6F">
              <w:rPr>
                <w:rFonts w:ascii="Arial" w:hAnsi="Arial" w:cs="Arial"/>
                <w:szCs w:val="20"/>
              </w:rPr>
              <w:t>5</w:t>
            </w:r>
            <w:r>
              <w:rPr>
                <w:rFonts w:ascii="Arial" w:hAnsi="Arial" w:cs="Arial"/>
                <w:szCs w:val="20"/>
              </w:rPr>
              <w:t xml:space="preserve"> ECTS</w:t>
            </w:r>
          </w:p>
          <w:p w14:paraId="3622C898" w14:textId="77777777" w:rsidR="009B1F84" w:rsidRDefault="009B1F84" w:rsidP="002A4EE1">
            <w:pPr>
              <w:tabs>
                <w:tab w:val="right" w:pos="-720"/>
                <w:tab w:val="left" w:pos="0"/>
                <w:tab w:val="num" w:pos="1080"/>
                <w:tab w:val="left" w:pos="3616"/>
              </w:tabs>
              <w:spacing w:before="120" w:after="120"/>
              <w:ind w:right="85"/>
              <w:rPr>
                <w:rFonts w:ascii="Arial" w:hAnsi="Arial" w:cs="Arial"/>
                <w:szCs w:val="20"/>
              </w:rPr>
            </w:pPr>
            <w:r w:rsidRPr="009239F4">
              <w:rPr>
                <w:rFonts w:ascii="Arial" w:hAnsi="Arial" w:cs="Arial"/>
                <w:szCs w:val="20"/>
              </w:rPr>
              <w:t>Lecture hours:</w:t>
            </w:r>
            <w:r w:rsidRPr="009239F4">
              <w:rPr>
                <w:rFonts w:ascii="Arial" w:hAnsi="Arial" w:cs="Arial"/>
                <w:szCs w:val="20"/>
              </w:rPr>
              <w:tab/>
            </w:r>
            <w:r>
              <w:rPr>
                <w:rFonts w:ascii="Arial" w:hAnsi="Arial" w:cs="Arial"/>
                <w:szCs w:val="20"/>
              </w:rPr>
              <w:tab/>
              <w:t xml:space="preserve"> </w:t>
            </w:r>
            <w:r w:rsidR="00111B6F">
              <w:rPr>
                <w:rFonts w:ascii="Arial" w:hAnsi="Arial" w:cs="Arial"/>
                <w:szCs w:val="20"/>
              </w:rPr>
              <w:t>12</w:t>
            </w:r>
          </w:p>
          <w:p w14:paraId="6F765053" w14:textId="77777777" w:rsidR="009B1F84" w:rsidRDefault="009B1F84" w:rsidP="002A4EE1">
            <w:pPr>
              <w:tabs>
                <w:tab w:val="right" w:pos="-720"/>
                <w:tab w:val="left" w:pos="0"/>
                <w:tab w:val="num" w:pos="1080"/>
                <w:tab w:val="left" w:pos="3616"/>
              </w:tabs>
              <w:spacing w:before="120" w:after="120"/>
              <w:ind w:right="85"/>
              <w:rPr>
                <w:rFonts w:ascii="Arial" w:hAnsi="Arial" w:cs="Arial"/>
                <w:szCs w:val="20"/>
              </w:rPr>
            </w:pPr>
            <w:r>
              <w:rPr>
                <w:rFonts w:ascii="Arial" w:hAnsi="Arial" w:cs="Arial"/>
                <w:szCs w:val="20"/>
              </w:rPr>
              <w:t xml:space="preserve">Independent study:                                   </w:t>
            </w:r>
            <w:r w:rsidR="00111B6F">
              <w:rPr>
                <w:rFonts w:ascii="Arial" w:hAnsi="Arial" w:cs="Arial"/>
                <w:szCs w:val="20"/>
              </w:rPr>
              <w:t>113</w:t>
            </w:r>
          </w:p>
          <w:p w14:paraId="28F46994" w14:textId="77777777" w:rsidR="009B1F84" w:rsidRPr="009239F4" w:rsidRDefault="009B1F84" w:rsidP="002A4EE1">
            <w:pPr>
              <w:tabs>
                <w:tab w:val="right" w:pos="-720"/>
                <w:tab w:val="left" w:pos="0"/>
                <w:tab w:val="num" w:pos="1080"/>
                <w:tab w:val="left" w:pos="3616"/>
              </w:tabs>
              <w:spacing w:before="120" w:after="120"/>
              <w:ind w:right="85"/>
              <w:rPr>
                <w:rFonts w:ascii="Arial" w:hAnsi="Arial" w:cs="Arial"/>
                <w:szCs w:val="20"/>
              </w:rPr>
            </w:pPr>
            <w:r>
              <w:rPr>
                <w:rFonts w:ascii="Arial" w:hAnsi="Arial" w:cs="Arial"/>
                <w:szCs w:val="20"/>
              </w:rPr>
              <w:t>Tot</w:t>
            </w:r>
            <w:r w:rsidRPr="009239F4">
              <w:rPr>
                <w:rFonts w:ascii="Arial" w:hAnsi="Arial" w:cs="Arial"/>
                <w:szCs w:val="20"/>
              </w:rPr>
              <w:t>al Student Effort:</w:t>
            </w:r>
            <w:r w:rsidRPr="009239F4">
              <w:rPr>
                <w:rFonts w:ascii="Arial" w:hAnsi="Arial" w:cs="Arial"/>
                <w:szCs w:val="20"/>
              </w:rPr>
              <w:tab/>
            </w:r>
            <w:r>
              <w:rPr>
                <w:rFonts w:ascii="Arial" w:hAnsi="Arial" w:cs="Arial"/>
                <w:szCs w:val="20"/>
              </w:rPr>
              <w:tab/>
            </w:r>
            <w:r w:rsidR="00111B6F">
              <w:rPr>
                <w:rFonts w:ascii="Arial" w:hAnsi="Arial" w:cs="Arial"/>
                <w:szCs w:val="20"/>
              </w:rPr>
              <w:t>125</w:t>
            </w:r>
            <w:r>
              <w:rPr>
                <w:rFonts w:ascii="Arial" w:hAnsi="Arial" w:cs="Arial"/>
                <w:szCs w:val="20"/>
              </w:rPr>
              <w:t xml:space="preserve"> hours </w:t>
            </w:r>
          </w:p>
        </w:tc>
      </w:tr>
      <w:bookmarkEnd w:id="0"/>
    </w:tbl>
    <w:p w14:paraId="17DAA46F" w14:textId="77777777" w:rsidR="00D37DE4" w:rsidRDefault="00D37DE4" w:rsidP="009B1F84">
      <w:pPr>
        <w:pStyle w:val="NormalWeb"/>
        <w:spacing w:before="0" w:beforeAutospacing="0" w:after="0" w:afterAutospacing="0"/>
      </w:pPr>
    </w:p>
    <w:p w14:paraId="39E301A1" w14:textId="77777777" w:rsidR="009B1F84" w:rsidRPr="00511472" w:rsidRDefault="00D37DE4" w:rsidP="009B1F84">
      <w:pPr>
        <w:pStyle w:val="NormalWeb"/>
        <w:spacing w:before="0" w:beforeAutospacing="0" w:after="0" w:afterAutospacing="0"/>
      </w:pPr>
      <w:r>
        <w:br w:type="page"/>
      </w:r>
    </w:p>
    <w:tbl>
      <w:tblPr>
        <w:tblW w:w="4977" w:type="pct"/>
        <w:tblCellSpacing w:w="15" w:type="dxa"/>
        <w:tblInd w:w="4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9773"/>
      </w:tblGrid>
      <w:tr w:rsidR="009B1F84" w:rsidRPr="009239F4" w14:paraId="3C050110" w14:textId="77777777" w:rsidTr="00190C29">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tcPr>
          <w:p w14:paraId="54C24605" w14:textId="77777777" w:rsidR="009B1F84" w:rsidRPr="00F223A0" w:rsidRDefault="009B1F84" w:rsidP="009B1F84">
            <w:pPr>
              <w:pStyle w:val="Heading2"/>
              <w:rPr>
                <w:rFonts w:ascii="Arial" w:hAnsi="Arial" w:cs="Arial"/>
                <w:szCs w:val="20"/>
              </w:rPr>
            </w:pPr>
            <w:r w:rsidRPr="00F223A0">
              <w:br w:type="page"/>
            </w:r>
            <w:r w:rsidRPr="00F223A0">
              <w:rPr>
                <w:rFonts w:ascii="Arial" w:hAnsi="Arial" w:cs="Arial"/>
                <w:szCs w:val="20"/>
              </w:rPr>
              <w:t>Topics</w:t>
            </w:r>
          </w:p>
        </w:tc>
      </w:tr>
      <w:tr w:rsidR="009B1F84" w:rsidRPr="009239F4" w14:paraId="2FF55C2B" w14:textId="77777777" w:rsidTr="00190C29">
        <w:trPr>
          <w:trHeight w:val="500"/>
          <w:tblCellSpacing w:w="15" w:type="dxa"/>
        </w:trPr>
        <w:tc>
          <w:tcPr>
            <w:tcW w:w="4969" w:type="pct"/>
            <w:tcBorders>
              <w:top w:val="outset" w:sz="6" w:space="0" w:color="auto"/>
              <w:left w:val="outset" w:sz="6" w:space="0" w:color="auto"/>
              <w:bottom w:val="outset" w:sz="6" w:space="0" w:color="auto"/>
              <w:right w:val="outset" w:sz="6" w:space="0" w:color="auto"/>
            </w:tcBorders>
            <w:shd w:val="clear" w:color="auto" w:fill="auto"/>
            <w:vAlign w:val="center"/>
          </w:tcPr>
          <w:p w14:paraId="27069516" w14:textId="77777777" w:rsidR="009B1F84" w:rsidRPr="00930F81" w:rsidRDefault="009B1F84" w:rsidP="009B1F84">
            <w:pPr>
              <w:spacing w:before="120"/>
              <w:rPr>
                <w:rFonts w:ascii="Arial" w:hAnsi="Arial" w:cs="Arial"/>
                <w:b/>
                <w:lang w:val="en-IE"/>
              </w:rPr>
            </w:pPr>
            <w:r w:rsidRPr="00146F8E">
              <w:rPr>
                <w:rFonts w:ascii="Arial" w:hAnsi="Arial" w:cs="Arial"/>
                <w:b/>
                <w:lang w:val="en-IE"/>
              </w:rPr>
              <w:t xml:space="preserve">Week </w:t>
            </w:r>
            <w:r>
              <w:rPr>
                <w:rFonts w:ascii="Arial" w:hAnsi="Arial" w:cs="Arial"/>
                <w:b/>
                <w:lang w:val="en-IE"/>
              </w:rPr>
              <w:t>1</w:t>
            </w:r>
            <w:r w:rsidRPr="00146F8E">
              <w:rPr>
                <w:rFonts w:ascii="Arial" w:hAnsi="Arial" w:cs="Arial"/>
                <w:b/>
                <w:lang w:val="en-IE"/>
              </w:rPr>
              <w:t>: Introduction</w:t>
            </w:r>
            <w:r w:rsidR="00EC3307">
              <w:rPr>
                <w:rFonts w:ascii="Arial" w:hAnsi="Arial" w:cs="Arial"/>
                <w:b/>
                <w:lang w:val="en-IE"/>
              </w:rPr>
              <w:t xml:space="preserve">: Climate Justice </w:t>
            </w:r>
            <w:r w:rsidR="00930F81">
              <w:rPr>
                <w:rFonts w:ascii="Arial" w:hAnsi="Arial" w:cs="Arial"/>
                <w:b/>
                <w:bCs/>
                <w:lang w:val="en-IE"/>
              </w:rPr>
              <w:t xml:space="preserve">&amp; the </w:t>
            </w:r>
            <w:r w:rsidR="00930F81">
              <w:rPr>
                <w:rFonts w:ascii="Arial" w:hAnsi="Arial" w:cs="Arial"/>
                <w:b/>
                <w:bCs/>
                <w:i/>
                <w:iCs/>
                <w:lang w:val="en-IE"/>
              </w:rPr>
              <w:t>Urgenda</w:t>
            </w:r>
            <w:r w:rsidR="00930F81">
              <w:rPr>
                <w:rFonts w:ascii="Arial" w:hAnsi="Arial" w:cs="Arial"/>
                <w:b/>
                <w:bCs/>
                <w:lang w:val="en-IE"/>
              </w:rPr>
              <w:t xml:space="preserve"> case</w:t>
            </w:r>
          </w:p>
          <w:p w14:paraId="42923167" w14:textId="77777777" w:rsidR="009B1F84" w:rsidRPr="00146F8E" w:rsidRDefault="009B1F84" w:rsidP="009B1F84">
            <w:pPr>
              <w:jc w:val="both"/>
              <w:rPr>
                <w:rFonts w:ascii="Arial" w:hAnsi="Arial" w:cs="Arial"/>
              </w:rPr>
            </w:pPr>
          </w:p>
          <w:p w14:paraId="7D7E1009" w14:textId="77777777" w:rsidR="009B1F84" w:rsidRPr="00930F81" w:rsidRDefault="009B1F84" w:rsidP="009B1F84">
            <w:pPr>
              <w:tabs>
                <w:tab w:val="left" w:pos="9540"/>
              </w:tabs>
              <w:ind w:right="65"/>
              <w:jc w:val="both"/>
              <w:rPr>
                <w:rFonts w:ascii="Arial" w:hAnsi="Arial" w:cs="Arial"/>
              </w:rPr>
            </w:pPr>
            <w:r w:rsidRPr="00E7718A">
              <w:rPr>
                <w:rFonts w:ascii="Arial" w:hAnsi="Arial" w:cs="Arial"/>
              </w:rPr>
              <w:t xml:space="preserve">The module begins with an exploration of </w:t>
            </w:r>
            <w:r w:rsidR="00705D7D">
              <w:rPr>
                <w:rFonts w:ascii="Arial" w:hAnsi="Arial" w:cs="Arial"/>
              </w:rPr>
              <w:t xml:space="preserve">the concept of </w:t>
            </w:r>
            <w:r w:rsidR="00EC3307">
              <w:rPr>
                <w:rFonts w:ascii="Arial" w:hAnsi="Arial" w:cs="Arial"/>
              </w:rPr>
              <w:t>climate justice</w:t>
            </w:r>
            <w:r w:rsidRPr="00E7718A">
              <w:rPr>
                <w:rFonts w:ascii="Arial" w:hAnsi="Arial" w:cs="Arial"/>
              </w:rPr>
              <w:t xml:space="preserve"> and </w:t>
            </w:r>
            <w:r w:rsidR="00705D7D">
              <w:rPr>
                <w:rFonts w:ascii="Arial" w:hAnsi="Arial" w:cs="Arial"/>
              </w:rPr>
              <w:t xml:space="preserve">the role of </w:t>
            </w:r>
            <w:r w:rsidRPr="00E7718A">
              <w:rPr>
                <w:rFonts w:ascii="Arial" w:hAnsi="Arial" w:cs="Arial"/>
              </w:rPr>
              <w:t>human rights</w:t>
            </w:r>
            <w:r w:rsidR="00705D7D">
              <w:rPr>
                <w:rFonts w:ascii="Arial" w:hAnsi="Arial" w:cs="Arial"/>
              </w:rPr>
              <w:t xml:space="preserve"> in addressing </w:t>
            </w:r>
            <w:r w:rsidR="00EC3307">
              <w:rPr>
                <w:rFonts w:ascii="Arial" w:hAnsi="Arial" w:cs="Arial"/>
              </w:rPr>
              <w:t>climate change</w:t>
            </w:r>
            <w:r w:rsidRPr="00E7718A">
              <w:rPr>
                <w:rFonts w:ascii="Arial" w:hAnsi="Arial" w:cs="Arial"/>
              </w:rPr>
              <w:t xml:space="preserve">. </w:t>
            </w:r>
            <w:r w:rsidR="00930F81">
              <w:rPr>
                <w:rFonts w:ascii="Arial" w:hAnsi="Arial" w:cs="Arial"/>
              </w:rPr>
              <w:t xml:space="preserve">It does so by focusing in particular on the decision of the Dutch Supreme Court in the landmark </w:t>
            </w:r>
            <w:r w:rsidR="00930F81">
              <w:rPr>
                <w:rFonts w:ascii="Arial" w:hAnsi="Arial" w:cs="Arial"/>
                <w:i/>
                <w:iCs/>
              </w:rPr>
              <w:t>Urgenda</w:t>
            </w:r>
            <w:r w:rsidR="00930F81">
              <w:rPr>
                <w:rFonts w:ascii="Arial" w:hAnsi="Arial" w:cs="Arial"/>
              </w:rPr>
              <w:t xml:space="preserve"> case.</w:t>
            </w:r>
          </w:p>
          <w:p w14:paraId="683A1E61" w14:textId="77777777" w:rsidR="009B1F84" w:rsidRDefault="009B1F84" w:rsidP="009B1F84">
            <w:pPr>
              <w:jc w:val="both"/>
            </w:pPr>
          </w:p>
          <w:p w14:paraId="18AC6BD9" w14:textId="77777777" w:rsidR="009B1F84" w:rsidRDefault="009B1F84" w:rsidP="007370C7">
            <w:pPr>
              <w:tabs>
                <w:tab w:val="left" w:pos="9540"/>
              </w:tabs>
              <w:ind w:left="360" w:right="65" w:hanging="360"/>
              <w:jc w:val="both"/>
              <w:rPr>
                <w:rFonts w:ascii="Arial" w:hAnsi="Arial" w:cs="Arial"/>
                <w:b/>
              </w:rPr>
            </w:pPr>
            <w:r w:rsidRPr="00146F8E">
              <w:rPr>
                <w:rFonts w:ascii="Arial" w:hAnsi="Arial" w:cs="Arial"/>
                <w:b/>
                <w:i/>
              </w:rPr>
              <w:t>Required Reading</w:t>
            </w:r>
            <w:r w:rsidRPr="00146F8E">
              <w:rPr>
                <w:rFonts w:ascii="Arial" w:hAnsi="Arial" w:cs="Arial"/>
                <w:b/>
              </w:rPr>
              <w:t>:</w:t>
            </w:r>
          </w:p>
          <w:p w14:paraId="29B219EF" w14:textId="77777777" w:rsidR="00E57D13" w:rsidRDefault="005E23F7" w:rsidP="00C316A1">
            <w:pPr>
              <w:numPr>
                <w:ilvl w:val="0"/>
                <w:numId w:val="9"/>
              </w:numPr>
              <w:rPr>
                <w:rFonts w:ascii="Arial" w:hAnsi="Arial" w:cs="Arial"/>
              </w:rPr>
            </w:pPr>
            <w:r w:rsidRPr="005E23F7">
              <w:rPr>
                <w:rFonts w:ascii="Arial" w:hAnsi="Arial" w:cs="Arial"/>
              </w:rPr>
              <w:t>Jacqueline</w:t>
            </w:r>
            <w:r>
              <w:rPr>
                <w:rFonts w:ascii="Arial" w:hAnsi="Arial" w:cs="Arial"/>
              </w:rPr>
              <w:t xml:space="preserve"> </w:t>
            </w:r>
            <w:r w:rsidRPr="005E23F7">
              <w:rPr>
                <w:rFonts w:ascii="Arial" w:hAnsi="Arial" w:cs="Arial"/>
              </w:rPr>
              <w:t>Peel</w:t>
            </w:r>
            <w:r>
              <w:rPr>
                <w:rFonts w:ascii="Arial" w:hAnsi="Arial" w:cs="Arial"/>
              </w:rPr>
              <w:t xml:space="preserve"> et al., Principles of International Environmental Law</w:t>
            </w:r>
            <w:r w:rsidR="00120CAE">
              <w:rPr>
                <w:rFonts w:ascii="Arial" w:hAnsi="Arial" w:cs="Arial"/>
              </w:rPr>
              <w:t xml:space="preserve">, </w:t>
            </w:r>
            <w:r>
              <w:rPr>
                <w:rFonts w:ascii="Arial" w:hAnsi="Arial" w:cs="Arial"/>
              </w:rPr>
              <w:t>4</w:t>
            </w:r>
            <w:r w:rsidRPr="005E23F7">
              <w:rPr>
                <w:rFonts w:ascii="Arial" w:hAnsi="Arial" w:cs="Arial"/>
                <w:vertAlign w:val="superscript"/>
              </w:rPr>
              <w:t>th</w:t>
            </w:r>
            <w:r>
              <w:rPr>
                <w:rFonts w:ascii="Arial" w:hAnsi="Arial" w:cs="Arial"/>
              </w:rPr>
              <w:t xml:space="preserve"> ed. (Cambridge University Press, 2018), Chapter 8;</w:t>
            </w:r>
          </w:p>
          <w:p w14:paraId="30999ED9" w14:textId="77777777" w:rsidR="003F58AC" w:rsidRDefault="00000000" w:rsidP="00C316A1">
            <w:pPr>
              <w:numPr>
                <w:ilvl w:val="0"/>
                <w:numId w:val="9"/>
              </w:numPr>
              <w:rPr>
                <w:rFonts w:ascii="Arial" w:hAnsi="Arial" w:cs="Arial"/>
              </w:rPr>
            </w:pPr>
            <w:hyperlink r:id="rId10" w:history="1">
              <w:r w:rsidR="005E23F7" w:rsidRPr="005E23F7">
                <w:rPr>
                  <w:rStyle w:val="Hyperlink"/>
                  <w:rFonts w:ascii="Arial" w:hAnsi="Arial" w:cs="Arial"/>
                </w:rPr>
                <w:t xml:space="preserve">Decision of the Dutch Supreme Court in </w:t>
              </w:r>
              <w:r w:rsidR="005E23F7" w:rsidRPr="005E23F7">
                <w:rPr>
                  <w:rStyle w:val="Hyperlink"/>
                  <w:rFonts w:ascii="Arial" w:hAnsi="Arial" w:cs="Arial"/>
                  <w:i/>
                  <w:iCs/>
                </w:rPr>
                <w:t>Urgenda v Netherlands</w:t>
              </w:r>
            </w:hyperlink>
            <w:r w:rsidR="00120CAE">
              <w:rPr>
                <w:rFonts w:ascii="Arial" w:hAnsi="Arial" w:cs="Arial"/>
              </w:rPr>
              <w:t>;</w:t>
            </w:r>
          </w:p>
          <w:p w14:paraId="106FA714" w14:textId="77777777" w:rsidR="005E23F7" w:rsidRPr="005A2ACC" w:rsidRDefault="005E23F7" w:rsidP="00C316A1">
            <w:pPr>
              <w:numPr>
                <w:ilvl w:val="0"/>
                <w:numId w:val="9"/>
              </w:numPr>
              <w:rPr>
                <w:rFonts w:ascii="Arial" w:hAnsi="Arial" w:cs="Arial"/>
              </w:rPr>
            </w:pPr>
            <w:r w:rsidRPr="005E23F7">
              <w:rPr>
                <w:rFonts w:ascii="Arial" w:hAnsi="Arial" w:cs="Arial"/>
              </w:rPr>
              <w:t>Patrícia G Ferreira,</w:t>
            </w:r>
            <w:r>
              <w:rPr>
                <w:rFonts w:ascii="Arial" w:hAnsi="Arial" w:cs="Arial"/>
              </w:rPr>
              <w:t xml:space="preserve"> </w:t>
            </w:r>
            <w:r w:rsidRPr="005E23F7">
              <w:rPr>
                <w:rFonts w:ascii="Arial" w:hAnsi="Arial" w:cs="Arial"/>
              </w:rPr>
              <w:t>‘“Common But Differentiated Responsibilities” in the National Courts: Lessons from</w:t>
            </w:r>
            <w:r w:rsidR="003D3FE9">
              <w:rPr>
                <w:rFonts w:ascii="Arial" w:hAnsi="Arial" w:cs="Arial"/>
              </w:rPr>
              <w:t xml:space="preserve"> </w:t>
            </w:r>
            <w:r w:rsidRPr="003D3FE9">
              <w:rPr>
                <w:rFonts w:ascii="Arial" w:hAnsi="Arial" w:cs="Arial"/>
              </w:rPr>
              <w:t xml:space="preserve">Urgenda v. The Netherlands’ (2016) 5(2) Transnational </w:t>
            </w:r>
            <w:r w:rsidRPr="005A2ACC">
              <w:rPr>
                <w:rFonts w:ascii="Arial" w:hAnsi="Arial" w:cs="Arial"/>
              </w:rPr>
              <w:t>Environmental Law 329</w:t>
            </w:r>
            <w:r w:rsidR="00120CAE" w:rsidRPr="005A2ACC">
              <w:rPr>
                <w:rFonts w:ascii="Arial" w:hAnsi="Arial" w:cs="Arial"/>
              </w:rPr>
              <w:t>;</w:t>
            </w:r>
          </w:p>
          <w:p w14:paraId="794B5D8C" w14:textId="77777777" w:rsidR="00F63331" w:rsidRPr="005A2ACC" w:rsidRDefault="00F63331" w:rsidP="00F63331">
            <w:pPr>
              <w:numPr>
                <w:ilvl w:val="0"/>
                <w:numId w:val="9"/>
              </w:numPr>
              <w:rPr>
                <w:rFonts w:ascii="Arial" w:hAnsi="Arial" w:cs="Arial"/>
              </w:rPr>
            </w:pPr>
            <w:r w:rsidRPr="005A2ACC">
              <w:rPr>
                <w:rFonts w:ascii="Arial" w:hAnsi="Arial" w:cs="Arial"/>
              </w:rPr>
              <w:t>Bård Lahn and Göran Sundqvist, ‘Science as a “Fixed Point”? Quantification and Boundary Objects in International Climate Politics’ (2017) 67 Environmental Science and Policy 8</w:t>
            </w:r>
          </w:p>
          <w:p w14:paraId="26695F3E" w14:textId="35E43ACB" w:rsidR="005278F1" w:rsidRPr="005A2ACC" w:rsidRDefault="005278F1" w:rsidP="00C316A1">
            <w:pPr>
              <w:numPr>
                <w:ilvl w:val="0"/>
                <w:numId w:val="9"/>
              </w:numPr>
              <w:rPr>
                <w:rFonts w:ascii="Arial" w:hAnsi="Arial" w:cs="Arial"/>
              </w:rPr>
            </w:pPr>
            <w:r w:rsidRPr="005A2ACC">
              <w:rPr>
                <w:rFonts w:ascii="Arial" w:hAnsi="Arial" w:cs="Arial"/>
              </w:rPr>
              <w:t xml:space="preserve">Climate Analytics expert report submitted on behalf of the applicants in </w:t>
            </w:r>
            <w:r w:rsidRPr="005A2ACC">
              <w:rPr>
                <w:rFonts w:ascii="Arial" w:hAnsi="Arial" w:cs="Arial"/>
                <w:i/>
                <w:iCs/>
              </w:rPr>
              <w:t>Duarte Agostinho</w:t>
            </w:r>
            <w:r w:rsidRPr="005A2ACC">
              <w:rPr>
                <w:rFonts w:ascii="Arial" w:hAnsi="Arial" w:cs="Arial"/>
              </w:rPr>
              <w:t>, Section</w:t>
            </w:r>
            <w:r w:rsidR="00F63331" w:rsidRPr="005A2ACC">
              <w:rPr>
                <w:rFonts w:ascii="Arial" w:hAnsi="Arial" w:cs="Arial"/>
              </w:rPr>
              <w:t>s</w:t>
            </w:r>
            <w:r w:rsidRPr="005A2ACC">
              <w:rPr>
                <w:rFonts w:ascii="Arial" w:hAnsi="Arial" w:cs="Arial"/>
              </w:rPr>
              <w:t xml:space="preserve"> 2</w:t>
            </w:r>
            <w:r w:rsidR="00B9399C" w:rsidRPr="005A2ACC">
              <w:rPr>
                <w:rFonts w:ascii="Arial" w:hAnsi="Arial" w:cs="Arial"/>
              </w:rPr>
              <w:t>, 3.1 and 3.2</w:t>
            </w:r>
            <w:r w:rsidRPr="005A2ACC">
              <w:rPr>
                <w:rFonts w:ascii="Arial" w:hAnsi="Arial" w:cs="Arial"/>
              </w:rPr>
              <w:t xml:space="preserve"> (pp. 5-</w:t>
            </w:r>
            <w:r w:rsidR="00B9399C" w:rsidRPr="005A2ACC">
              <w:rPr>
                <w:rFonts w:ascii="Arial" w:hAnsi="Arial" w:cs="Arial"/>
              </w:rPr>
              <w:t>43</w:t>
            </w:r>
            <w:r w:rsidRPr="005A2ACC">
              <w:rPr>
                <w:rFonts w:ascii="Arial" w:hAnsi="Arial" w:cs="Arial"/>
              </w:rPr>
              <w:t>).</w:t>
            </w:r>
          </w:p>
          <w:p w14:paraId="3377911C" w14:textId="77777777" w:rsidR="002A4EE1" w:rsidRPr="00146F8E" w:rsidRDefault="002A4EE1" w:rsidP="002C5AFF">
            <w:pPr>
              <w:ind w:left="516" w:hanging="425"/>
              <w:jc w:val="both"/>
              <w:rPr>
                <w:rFonts w:ascii="Arial" w:hAnsi="Arial" w:cs="Arial"/>
                <w:bCs/>
                <w:color w:val="000000"/>
              </w:rPr>
            </w:pPr>
          </w:p>
          <w:p w14:paraId="0D06B2DF" w14:textId="77777777" w:rsidR="009B1F84" w:rsidRPr="00705D7D" w:rsidRDefault="009B1F84" w:rsidP="002C5AFF">
            <w:pPr>
              <w:keepNext/>
              <w:ind w:left="516" w:hanging="425"/>
              <w:jc w:val="both"/>
              <w:rPr>
                <w:rFonts w:ascii="Arial" w:hAnsi="Arial" w:cs="Arial"/>
                <w:bCs/>
              </w:rPr>
            </w:pPr>
            <w:r w:rsidRPr="0023519F">
              <w:rPr>
                <w:rFonts w:ascii="Arial" w:hAnsi="Arial" w:cs="Arial"/>
                <w:b/>
                <w:i/>
              </w:rPr>
              <w:t>Further Reading</w:t>
            </w:r>
            <w:r>
              <w:rPr>
                <w:rFonts w:ascii="Arial" w:hAnsi="Arial" w:cs="Arial"/>
                <w:b/>
              </w:rPr>
              <w:t>:</w:t>
            </w:r>
          </w:p>
          <w:p w14:paraId="5508C45E" w14:textId="77777777" w:rsidR="00120CAE" w:rsidRDefault="00930F81" w:rsidP="00C316A1">
            <w:pPr>
              <w:numPr>
                <w:ilvl w:val="0"/>
                <w:numId w:val="9"/>
              </w:numPr>
              <w:rPr>
                <w:rFonts w:ascii="Arial" w:hAnsi="Arial" w:cs="Arial"/>
              </w:rPr>
            </w:pPr>
            <w:r>
              <w:rPr>
                <w:rFonts w:ascii="Arial" w:hAnsi="Arial" w:cs="Arial"/>
              </w:rPr>
              <w:t xml:space="preserve">Mary Robinson, </w:t>
            </w:r>
            <w:r>
              <w:rPr>
                <w:rFonts w:ascii="Arial" w:hAnsi="Arial" w:cs="Arial"/>
                <w:i/>
                <w:iCs/>
              </w:rPr>
              <w:t>Climate Justice</w:t>
            </w:r>
            <w:r>
              <w:rPr>
                <w:rFonts w:ascii="Arial" w:hAnsi="Arial" w:cs="Arial"/>
              </w:rPr>
              <w:t>, Bloomsbury, 2018, Chapter</w:t>
            </w:r>
            <w:r w:rsidR="00120CAE">
              <w:rPr>
                <w:rFonts w:ascii="Arial" w:hAnsi="Arial" w:cs="Arial"/>
              </w:rPr>
              <w:t>s</w:t>
            </w:r>
            <w:r>
              <w:rPr>
                <w:rFonts w:ascii="Arial" w:hAnsi="Arial" w:cs="Arial"/>
              </w:rPr>
              <w:t xml:space="preserve"> 1</w:t>
            </w:r>
            <w:r w:rsidR="00120CAE">
              <w:rPr>
                <w:rFonts w:ascii="Arial" w:hAnsi="Arial" w:cs="Arial"/>
              </w:rPr>
              <w:t xml:space="preserve"> and 10</w:t>
            </w:r>
            <w:r>
              <w:rPr>
                <w:rFonts w:ascii="Arial" w:hAnsi="Arial" w:cs="Arial"/>
              </w:rPr>
              <w:t>.</w:t>
            </w:r>
          </w:p>
          <w:p w14:paraId="6AE08008" w14:textId="77777777" w:rsidR="00B335AE" w:rsidRDefault="00120CAE" w:rsidP="00C316A1">
            <w:pPr>
              <w:numPr>
                <w:ilvl w:val="0"/>
                <w:numId w:val="9"/>
              </w:numPr>
              <w:rPr>
                <w:rFonts w:ascii="Arial" w:hAnsi="Arial" w:cs="Arial"/>
              </w:rPr>
            </w:pPr>
            <w:r w:rsidRPr="00120CAE">
              <w:rPr>
                <w:rFonts w:ascii="Arial" w:hAnsi="Arial" w:cs="Arial"/>
              </w:rPr>
              <w:t>Lavanya Rajamani, ‘Ambition and Differentiation in the 2015 Paris Agreement: Interpretative Possibilities and Underlying Politics’ (2016) 65 International and Comparative Law Quarterly 493</w:t>
            </w:r>
          </w:p>
          <w:p w14:paraId="419C92E4" w14:textId="77777777" w:rsidR="00C316A1" w:rsidRPr="00C316A1" w:rsidRDefault="00C316A1" w:rsidP="00C316A1">
            <w:pPr>
              <w:numPr>
                <w:ilvl w:val="0"/>
                <w:numId w:val="9"/>
              </w:numPr>
              <w:rPr>
                <w:rFonts w:ascii="Arial" w:hAnsi="Arial" w:cs="Arial"/>
              </w:rPr>
            </w:pPr>
            <w:r>
              <w:rPr>
                <w:rFonts w:ascii="Arial" w:hAnsi="Arial" w:cs="Arial"/>
              </w:rPr>
              <w:t>Benoit Mayer, ‘</w:t>
            </w:r>
            <w:r>
              <w:rPr>
                <w:rFonts w:ascii="Arial" w:hAnsi="Arial" w:cs="Arial"/>
                <w:i/>
                <w:iCs/>
              </w:rPr>
              <w:t xml:space="preserve">The State of the Netherlands </w:t>
            </w:r>
            <w:r>
              <w:rPr>
                <w:rFonts w:ascii="Arial" w:hAnsi="Arial" w:cs="Arial"/>
              </w:rPr>
              <w:t xml:space="preserve">v. </w:t>
            </w:r>
            <w:r>
              <w:rPr>
                <w:rFonts w:ascii="Arial" w:hAnsi="Arial" w:cs="Arial"/>
                <w:i/>
                <w:iCs/>
              </w:rPr>
              <w:t xml:space="preserve">Urgenda Foundation: </w:t>
            </w:r>
            <w:r>
              <w:rPr>
                <w:rFonts w:ascii="Arial" w:hAnsi="Arial" w:cs="Arial"/>
              </w:rPr>
              <w:t xml:space="preserve">Ruling of the Court of Appeal of the Hague (9 October 2018)’ 8(1) </w:t>
            </w:r>
            <w:r>
              <w:rPr>
                <w:rFonts w:ascii="Arial" w:hAnsi="Arial" w:cs="Arial"/>
                <w:i/>
                <w:iCs/>
              </w:rPr>
              <w:t xml:space="preserve">Transnational Environmental Law </w:t>
            </w:r>
            <w:r>
              <w:rPr>
                <w:rFonts w:ascii="Arial" w:hAnsi="Arial" w:cs="Arial"/>
              </w:rPr>
              <w:t>(2019) 167.</w:t>
            </w:r>
            <w:r>
              <w:rPr>
                <w:rFonts w:ascii="Arial" w:hAnsi="Arial" w:cs="Arial"/>
                <w:i/>
                <w:iCs/>
              </w:rPr>
              <w:t xml:space="preserve"> </w:t>
            </w:r>
          </w:p>
          <w:p w14:paraId="2EBC0288" w14:textId="77777777" w:rsidR="007629D3" w:rsidRPr="000B528E" w:rsidRDefault="00705D7D" w:rsidP="00C316A1">
            <w:pPr>
              <w:keepNext/>
              <w:numPr>
                <w:ilvl w:val="0"/>
                <w:numId w:val="9"/>
              </w:numPr>
              <w:jc w:val="both"/>
              <w:rPr>
                <w:rFonts w:ascii="Arial" w:hAnsi="Arial" w:cs="Arial"/>
                <w:b/>
                <w:i/>
              </w:rPr>
            </w:pPr>
            <w:r w:rsidRPr="00705D7D">
              <w:rPr>
                <w:rFonts w:ascii="Arial" w:hAnsi="Arial" w:cs="Arial"/>
                <w:bCs/>
                <w:iCs/>
              </w:rPr>
              <w:t xml:space="preserve">Tracey Skillington, </w:t>
            </w:r>
            <w:r w:rsidRPr="00705D7D">
              <w:rPr>
                <w:rFonts w:ascii="Arial" w:hAnsi="Arial" w:cs="Arial"/>
                <w:bCs/>
                <w:i/>
              </w:rPr>
              <w:t>Climate Justice and Human Rights</w:t>
            </w:r>
            <w:r w:rsidRPr="00705D7D">
              <w:rPr>
                <w:rFonts w:ascii="Arial" w:hAnsi="Arial" w:cs="Arial"/>
                <w:bCs/>
                <w:iCs/>
              </w:rPr>
              <w:t>, Palgrave MacMillan, 2017.</w:t>
            </w:r>
          </w:p>
          <w:p w14:paraId="7DB9DCBE" w14:textId="77777777" w:rsidR="000B528E" w:rsidRPr="005E23F7" w:rsidRDefault="000B528E" w:rsidP="000B528E">
            <w:pPr>
              <w:keepNext/>
              <w:ind w:left="720"/>
              <w:jc w:val="both"/>
              <w:rPr>
                <w:rFonts w:ascii="Arial" w:hAnsi="Arial" w:cs="Arial"/>
                <w:b/>
                <w:i/>
              </w:rPr>
            </w:pPr>
          </w:p>
          <w:p w14:paraId="5E564DD9" w14:textId="77777777" w:rsidR="005E23F7" w:rsidRPr="005E23F7" w:rsidRDefault="005E23F7" w:rsidP="00BA413E">
            <w:pPr>
              <w:keepNext/>
              <w:jc w:val="both"/>
              <w:rPr>
                <w:rFonts w:ascii="Arial" w:hAnsi="Arial" w:cs="Arial"/>
                <w:b/>
                <w:i/>
              </w:rPr>
            </w:pPr>
          </w:p>
        </w:tc>
      </w:tr>
      <w:tr w:rsidR="009B1F84" w:rsidRPr="009239F4" w14:paraId="1DA3AE78" w14:textId="77777777" w:rsidTr="00190C29">
        <w:trPr>
          <w:trHeight w:val="563"/>
          <w:tblCellSpacing w:w="15" w:type="dxa"/>
        </w:trPr>
        <w:tc>
          <w:tcPr>
            <w:tcW w:w="4969" w:type="pct"/>
            <w:tcBorders>
              <w:top w:val="outset" w:sz="6" w:space="0" w:color="auto"/>
              <w:left w:val="outset" w:sz="6" w:space="0" w:color="auto"/>
              <w:bottom w:val="outset" w:sz="6" w:space="0" w:color="auto"/>
              <w:right w:val="outset" w:sz="6" w:space="0" w:color="auto"/>
            </w:tcBorders>
            <w:shd w:val="clear" w:color="auto" w:fill="auto"/>
            <w:vAlign w:val="center"/>
          </w:tcPr>
          <w:p w14:paraId="72DDAB65" w14:textId="77777777" w:rsidR="006A4286" w:rsidRDefault="006A4286" w:rsidP="00EC3307">
            <w:pPr>
              <w:rPr>
                <w:rFonts w:ascii="Arial" w:hAnsi="Arial" w:cs="Arial"/>
                <w:b/>
                <w:lang w:val="en-IE"/>
              </w:rPr>
            </w:pPr>
          </w:p>
          <w:p w14:paraId="3D05305C" w14:textId="77777777" w:rsidR="009F4344" w:rsidRDefault="006E017D" w:rsidP="00EC3307">
            <w:pPr>
              <w:rPr>
                <w:rFonts w:ascii="Arial" w:hAnsi="Arial" w:cs="Arial"/>
                <w:b/>
                <w:bCs/>
                <w:lang w:val="en-IE"/>
              </w:rPr>
            </w:pPr>
            <w:r>
              <w:rPr>
                <w:rFonts w:ascii="Arial" w:hAnsi="Arial" w:cs="Arial"/>
                <w:b/>
                <w:lang w:val="en-IE"/>
              </w:rPr>
              <w:t>Week 2</w:t>
            </w:r>
            <w:r w:rsidR="009B1F84" w:rsidRPr="00CE36C5">
              <w:rPr>
                <w:rFonts w:ascii="Arial" w:hAnsi="Arial" w:cs="Arial"/>
                <w:b/>
                <w:lang w:val="en-IE"/>
              </w:rPr>
              <w:t>:</w:t>
            </w:r>
            <w:r w:rsidR="009F4344">
              <w:rPr>
                <w:rFonts w:ascii="Arial" w:hAnsi="Arial" w:cs="Arial"/>
                <w:b/>
                <w:lang w:val="en-IE"/>
              </w:rPr>
              <w:t xml:space="preserve"> </w:t>
            </w:r>
            <w:r w:rsidR="003C7DAF">
              <w:rPr>
                <w:rFonts w:ascii="Arial" w:hAnsi="Arial" w:cs="Arial"/>
                <w:b/>
                <w:lang w:val="en-IE"/>
              </w:rPr>
              <w:t>The “f</w:t>
            </w:r>
            <w:r w:rsidR="00120CAE">
              <w:rPr>
                <w:rFonts w:ascii="Arial" w:hAnsi="Arial" w:cs="Arial"/>
                <w:b/>
                <w:lang w:val="en-IE"/>
              </w:rPr>
              <w:t>air share</w:t>
            </w:r>
            <w:r w:rsidR="003C7DAF">
              <w:rPr>
                <w:rFonts w:ascii="Arial" w:hAnsi="Arial" w:cs="Arial"/>
                <w:b/>
                <w:lang w:val="en-IE"/>
              </w:rPr>
              <w:t>”</w:t>
            </w:r>
            <w:r w:rsidR="00BB4DBE">
              <w:rPr>
                <w:rFonts w:ascii="Arial" w:hAnsi="Arial" w:cs="Arial"/>
                <w:b/>
                <w:lang w:val="en-IE"/>
              </w:rPr>
              <w:t>/equity</w:t>
            </w:r>
            <w:r w:rsidR="003C7DAF">
              <w:rPr>
                <w:rFonts w:ascii="Arial" w:hAnsi="Arial" w:cs="Arial"/>
                <w:b/>
                <w:lang w:val="en-IE"/>
              </w:rPr>
              <w:t xml:space="preserve"> issue</w:t>
            </w:r>
            <w:r w:rsidR="00120CAE">
              <w:rPr>
                <w:rFonts w:ascii="Arial" w:hAnsi="Arial" w:cs="Arial"/>
                <w:b/>
                <w:lang w:val="en-IE"/>
              </w:rPr>
              <w:t xml:space="preserve"> </w:t>
            </w:r>
            <w:r w:rsidR="008A756B">
              <w:rPr>
                <w:rFonts w:ascii="Arial" w:hAnsi="Arial" w:cs="Arial"/>
                <w:b/>
                <w:lang w:val="en-IE"/>
              </w:rPr>
              <w:t>and human rights</w:t>
            </w:r>
            <w:r w:rsidR="00BB4DBE">
              <w:rPr>
                <w:rFonts w:ascii="Arial" w:hAnsi="Arial" w:cs="Arial"/>
                <w:b/>
                <w:lang w:val="en-IE"/>
              </w:rPr>
              <w:t xml:space="preserve"> law</w:t>
            </w:r>
            <w:r w:rsidR="008A756B">
              <w:rPr>
                <w:rFonts w:ascii="Arial" w:hAnsi="Arial" w:cs="Arial"/>
                <w:b/>
                <w:lang w:val="en-IE"/>
              </w:rPr>
              <w:t xml:space="preserve"> post-</w:t>
            </w:r>
            <w:r w:rsidR="008A756B">
              <w:rPr>
                <w:rFonts w:ascii="Arial" w:hAnsi="Arial" w:cs="Arial"/>
                <w:b/>
                <w:i/>
                <w:iCs/>
                <w:lang w:val="en-IE"/>
              </w:rPr>
              <w:t>Urgenda</w:t>
            </w:r>
            <w:r w:rsidR="00235FF3">
              <w:rPr>
                <w:rFonts w:ascii="Arial" w:hAnsi="Arial" w:cs="Arial"/>
                <w:b/>
                <w:lang w:val="en-IE"/>
              </w:rPr>
              <w:t xml:space="preserve"> </w:t>
            </w:r>
          </w:p>
          <w:p w14:paraId="0B1D1E34" w14:textId="77777777" w:rsidR="00272E9D" w:rsidRDefault="00272E9D" w:rsidP="00EC3307">
            <w:pPr>
              <w:rPr>
                <w:rFonts w:ascii="Arial" w:hAnsi="Arial" w:cs="Arial"/>
                <w:bCs/>
                <w:lang w:val="en-IE"/>
              </w:rPr>
            </w:pPr>
          </w:p>
          <w:p w14:paraId="771C7021" w14:textId="77777777" w:rsidR="00705D7D" w:rsidRPr="003C7DAF" w:rsidRDefault="00705D7D" w:rsidP="00EC3307">
            <w:pPr>
              <w:rPr>
                <w:rFonts w:ascii="Arial" w:hAnsi="Arial" w:cs="Arial"/>
                <w:bCs/>
                <w:lang w:val="en-IE"/>
              </w:rPr>
            </w:pPr>
            <w:r w:rsidRPr="00705D7D">
              <w:rPr>
                <w:rFonts w:ascii="Arial" w:hAnsi="Arial" w:cs="Arial"/>
                <w:bCs/>
                <w:lang w:val="en-IE"/>
              </w:rPr>
              <w:t>This session</w:t>
            </w:r>
            <w:r>
              <w:rPr>
                <w:rFonts w:ascii="Arial" w:hAnsi="Arial" w:cs="Arial"/>
                <w:bCs/>
                <w:lang w:val="en-IE"/>
              </w:rPr>
              <w:t xml:space="preserve"> examines </w:t>
            </w:r>
            <w:r w:rsidR="000D794B">
              <w:rPr>
                <w:rFonts w:ascii="Arial" w:hAnsi="Arial" w:cs="Arial"/>
                <w:bCs/>
                <w:lang w:val="en-IE"/>
              </w:rPr>
              <w:t>how the</w:t>
            </w:r>
            <w:r w:rsidR="00BC1971">
              <w:rPr>
                <w:rFonts w:ascii="Arial" w:hAnsi="Arial" w:cs="Arial"/>
                <w:bCs/>
                <w:lang w:val="en-IE"/>
              </w:rPr>
              <w:t xml:space="preserve"> issue of equity is being addressed in climate change </w:t>
            </w:r>
            <w:r w:rsidR="003C7DAF">
              <w:rPr>
                <w:rFonts w:ascii="Arial" w:hAnsi="Arial" w:cs="Arial"/>
                <w:bCs/>
                <w:lang w:val="en-IE"/>
              </w:rPr>
              <w:t xml:space="preserve">litigation pursued since the </w:t>
            </w:r>
            <w:r w:rsidR="003C7DAF">
              <w:rPr>
                <w:rFonts w:ascii="Arial" w:hAnsi="Arial" w:cs="Arial"/>
                <w:bCs/>
                <w:i/>
                <w:iCs/>
                <w:lang w:val="en-IE"/>
              </w:rPr>
              <w:t>Urgenda</w:t>
            </w:r>
            <w:r w:rsidR="003C7DAF">
              <w:rPr>
                <w:rFonts w:ascii="Arial" w:hAnsi="Arial" w:cs="Arial"/>
                <w:bCs/>
                <w:lang w:val="en-IE"/>
              </w:rPr>
              <w:t xml:space="preserve"> case</w:t>
            </w:r>
            <w:r>
              <w:rPr>
                <w:rFonts w:ascii="Arial" w:hAnsi="Arial" w:cs="Arial"/>
                <w:bCs/>
                <w:lang w:val="en-IE"/>
              </w:rPr>
              <w:t xml:space="preserve">. It </w:t>
            </w:r>
            <w:r w:rsidR="003C7DAF">
              <w:rPr>
                <w:rFonts w:ascii="Arial" w:hAnsi="Arial" w:cs="Arial"/>
                <w:bCs/>
                <w:lang w:val="en-IE"/>
              </w:rPr>
              <w:t xml:space="preserve">focuses in particular on the approach taken in the case of </w:t>
            </w:r>
            <w:r w:rsidR="003C7DAF">
              <w:rPr>
                <w:rFonts w:ascii="Arial" w:hAnsi="Arial" w:cs="Arial"/>
                <w:bCs/>
                <w:i/>
                <w:iCs/>
                <w:lang w:val="en-IE"/>
              </w:rPr>
              <w:t>Duarte Agostinho v 33 European States</w:t>
            </w:r>
            <w:r w:rsidR="003C7DAF">
              <w:rPr>
                <w:rFonts w:ascii="Arial" w:hAnsi="Arial" w:cs="Arial"/>
                <w:bCs/>
                <w:lang w:val="en-IE"/>
              </w:rPr>
              <w:t xml:space="preserve"> which is currently pending before the Grand Chamber of the European Court of Human Rights.</w:t>
            </w:r>
          </w:p>
          <w:p w14:paraId="19068785" w14:textId="77777777" w:rsidR="009F4344" w:rsidRDefault="009F4344" w:rsidP="00CE36C5">
            <w:pPr>
              <w:ind w:left="360" w:hanging="360"/>
              <w:rPr>
                <w:rFonts w:ascii="Arial" w:hAnsi="Arial" w:cs="Arial"/>
                <w:lang w:val="en-IE"/>
              </w:rPr>
            </w:pPr>
          </w:p>
          <w:p w14:paraId="2A89B197" w14:textId="77777777" w:rsidR="00CE36C5" w:rsidRDefault="009F4344" w:rsidP="00CE36C5">
            <w:pPr>
              <w:ind w:left="360" w:hanging="360"/>
              <w:rPr>
                <w:rFonts w:ascii="Arial" w:hAnsi="Arial" w:cs="Arial"/>
                <w:bCs/>
                <w:i/>
              </w:rPr>
            </w:pPr>
            <w:r w:rsidRPr="009F4344">
              <w:rPr>
                <w:rFonts w:ascii="Arial" w:hAnsi="Arial" w:cs="Arial"/>
                <w:b/>
                <w:i/>
                <w:lang w:val="en-IE"/>
              </w:rPr>
              <w:t>Required Reading</w:t>
            </w:r>
            <w:r>
              <w:rPr>
                <w:rFonts w:ascii="Arial" w:hAnsi="Arial" w:cs="Arial"/>
                <w:bCs/>
              </w:rPr>
              <w:t>:</w:t>
            </w:r>
            <w:r w:rsidR="00CE36C5" w:rsidRPr="009F4344">
              <w:rPr>
                <w:rFonts w:ascii="Arial" w:hAnsi="Arial" w:cs="Arial"/>
                <w:bCs/>
                <w:i/>
              </w:rPr>
              <w:t xml:space="preserve"> </w:t>
            </w:r>
          </w:p>
          <w:p w14:paraId="7C41409D" w14:textId="77777777" w:rsidR="00BA413E" w:rsidRPr="0098775B" w:rsidRDefault="00BA413E" w:rsidP="00B15473">
            <w:pPr>
              <w:numPr>
                <w:ilvl w:val="0"/>
                <w:numId w:val="5"/>
              </w:numPr>
              <w:ind w:left="375"/>
              <w:rPr>
                <w:rFonts w:ascii="Arial" w:hAnsi="Arial" w:cs="Arial"/>
              </w:rPr>
            </w:pPr>
            <w:r>
              <w:rPr>
                <w:rFonts w:ascii="Arial" w:hAnsi="Arial" w:cs="Arial"/>
              </w:rPr>
              <w:t xml:space="preserve">Observations of the Applicants on “Duty and Breach” in </w:t>
            </w:r>
            <w:r>
              <w:rPr>
                <w:rFonts w:ascii="Arial" w:hAnsi="Arial" w:cs="Arial"/>
                <w:bCs/>
                <w:i/>
                <w:iCs/>
                <w:lang w:val="en-IE"/>
              </w:rPr>
              <w:t>Duarte Agostinho v 33 European States</w:t>
            </w:r>
            <w:r w:rsidR="001B1423">
              <w:rPr>
                <w:rFonts w:ascii="Arial" w:hAnsi="Arial" w:cs="Arial"/>
                <w:bCs/>
                <w:i/>
                <w:iCs/>
                <w:lang w:val="en-IE"/>
              </w:rPr>
              <w:t xml:space="preserve"> </w:t>
            </w:r>
            <w:r w:rsidR="001B1423">
              <w:rPr>
                <w:rFonts w:ascii="Arial" w:hAnsi="Arial" w:cs="Arial"/>
                <w:bCs/>
                <w:lang w:val="en-IE"/>
              </w:rPr>
              <w:t>(excluding non-territorial emissions)</w:t>
            </w:r>
            <w:r w:rsidR="0098775B">
              <w:rPr>
                <w:rFonts w:ascii="Arial" w:hAnsi="Arial" w:cs="Arial"/>
                <w:bCs/>
                <w:i/>
                <w:iCs/>
                <w:lang w:val="en-IE"/>
              </w:rPr>
              <w:t xml:space="preserve"> </w:t>
            </w:r>
            <w:r w:rsidR="0098775B">
              <w:rPr>
                <w:rFonts w:ascii="Arial" w:hAnsi="Arial" w:cs="Arial"/>
                <w:bCs/>
                <w:lang w:val="en-IE"/>
              </w:rPr>
              <w:t>(</w:t>
            </w:r>
            <w:r w:rsidR="00FA0E4E">
              <w:rPr>
                <w:rFonts w:ascii="Arial" w:hAnsi="Arial" w:cs="Arial"/>
                <w:bCs/>
                <w:lang w:val="en-IE"/>
              </w:rPr>
              <w:t>pp. 212-295</w:t>
            </w:r>
            <w:r w:rsidR="0098775B">
              <w:rPr>
                <w:rFonts w:ascii="Arial" w:hAnsi="Arial" w:cs="Arial"/>
                <w:bCs/>
                <w:lang w:val="en-IE"/>
              </w:rPr>
              <w:t>) and on Ireland’s measures to reduce its territorial emissions (pp. 556-567);</w:t>
            </w:r>
          </w:p>
          <w:p w14:paraId="6E58C4EA" w14:textId="77777777" w:rsidR="0098775B" w:rsidRPr="004C4B5E" w:rsidRDefault="0098775B" w:rsidP="00B15473">
            <w:pPr>
              <w:numPr>
                <w:ilvl w:val="0"/>
                <w:numId w:val="5"/>
              </w:numPr>
              <w:ind w:left="375"/>
              <w:rPr>
                <w:rFonts w:ascii="Arial" w:hAnsi="Arial" w:cs="Arial"/>
              </w:rPr>
            </w:pPr>
            <w:r>
              <w:rPr>
                <w:rFonts w:ascii="Arial" w:hAnsi="Arial" w:cs="Arial"/>
                <w:bCs/>
              </w:rPr>
              <w:t xml:space="preserve">Second observations of Ireland in </w:t>
            </w:r>
            <w:r>
              <w:rPr>
                <w:rFonts w:ascii="Arial" w:hAnsi="Arial" w:cs="Arial"/>
                <w:bCs/>
                <w:i/>
                <w:iCs/>
                <w:lang w:val="en-IE"/>
              </w:rPr>
              <w:t>Duarte Agostinho</w:t>
            </w:r>
            <w:r>
              <w:rPr>
                <w:rFonts w:ascii="Arial" w:hAnsi="Arial" w:cs="Arial"/>
                <w:bCs/>
                <w:lang w:val="en-IE"/>
              </w:rPr>
              <w:t xml:space="preserve">, </w:t>
            </w:r>
            <w:r>
              <w:rPr>
                <w:rFonts w:ascii="Arial" w:hAnsi="Arial" w:cs="Arial"/>
                <w:bCs/>
              </w:rPr>
              <w:t>pp. 56-111</w:t>
            </w:r>
          </w:p>
          <w:p w14:paraId="43B12460" w14:textId="0249676B" w:rsidR="004C4B5E" w:rsidRPr="005A2ACC" w:rsidRDefault="004C4B5E" w:rsidP="00B15473">
            <w:pPr>
              <w:numPr>
                <w:ilvl w:val="0"/>
                <w:numId w:val="5"/>
              </w:numPr>
              <w:ind w:left="375"/>
              <w:rPr>
                <w:rFonts w:ascii="Arial" w:hAnsi="Arial" w:cs="Arial"/>
              </w:rPr>
            </w:pPr>
            <w:r w:rsidRPr="005A2ACC">
              <w:rPr>
                <w:rFonts w:ascii="Arial" w:hAnsi="Arial" w:cs="Arial"/>
                <w:bCs/>
              </w:rPr>
              <w:t>Christina Voigt</w:t>
            </w:r>
            <w:r w:rsidR="00334DC8" w:rsidRPr="005A2ACC">
              <w:rPr>
                <w:rFonts w:ascii="Arial" w:hAnsi="Arial" w:cs="Arial"/>
                <w:bCs/>
              </w:rPr>
              <w:t xml:space="preserve">, </w:t>
            </w:r>
            <w:r w:rsidR="003F6950" w:rsidRPr="005A2ACC">
              <w:rPr>
                <w:rFonts w:ascii="Arial" w:hAnsi="Arial" w:cs="Arial"/>
                <w:bCs/>
              </w:rPr>
              <w:t>‘</w:t>
            </w:r>
            <w:r w:rsidR="00334DC8" w:rsidRPr="005A2ACC">
              <w:rPr>
                <w:rFonts w:ascii="Arial" w:hAnsi="Arial" w:cs="Arial"/>
                <w:bCs/>
              </w:rPr>
              <w:t>The climate change dimension of human rights: due diligence and states' positive obligations</w:t>
            </w:r>
            <w:r w:rsidR="003F6950" w:rsidRPr="005A2ACC">
              <w:rPr>
                <w:rFonts w:ascii="Arial" w:hAnsi="Arial" w:cs="Arial"/>
                <w:bCs/>
              </w:rPr>
              <w:t xml:space="preserve">’ </w:t>
            </w:r>
            <w:r w:rsidR="00343C02" w:rsidRPr="005A2ACC">
              <w:rPr>
                <w:rFonts w:ascii="Arial" w:hAnsi="Arial" w:cs="Arial"/>
                <w:bCs/>
              </w:rPr>
              <w:t>13</w:t>
            </w:r>
            <w:r w:rsidR="003807DD" w:rsidRPr="005A2ACC">
              <w:rPr>
                <w:rFonts w:ascii="Arial" w:hAnsi="Arial" w:cs="Arial"/>
                <w:bCs/>
              </w:rPr>
              <w:t xml:space="preserve"> Journal of Human Rights and the Environment (September 2022)</w:t>
            </w:r>
            <w:r w:rsidR="005A5DC7" w:rsidRPr="005A2ACC">
              <w:rPr>
                <w:rFonts w:ascii="Arial" w:hAnsi="Arial" w:cs="Arial"/>
                <w:bCs/>
              </w:rPr>
              <w:t xml:space="preserve"> 152</w:t>
            </w:r>
          </w:p>
          <w:p w14:paraId="00C45330" w14:textId="77777777" w:rsidR="008D2034" w:rsidRPr="005A2ACC" w:rsidRDefault="008D2034" w:rsidP="008D2034">
            <w:pPr>
              <w:numPr>
                <w:ilvl w:val="0"/>
                <w:numId w:val="5"/>
              </w:numPr>
              <w:ind w:left="375"/>
              <w:rPr>
                <w:rFonts w:ascii="Arial" w:hAnsi="Arial" w:cs="Arial"/>
              </w:rPr>
            </w:pPr>
            <w:r w:rsidRPr="005A2ACC">
              <w:rPr>
                <w:rFonts w:ascii="Arial" w:hAnsi="Arial" w:cs="Arial"/>
              </w:rPr>
              <w:t xml:space="preserve">Lavanya Rajamani et al. ‘National 'fair shares' in reducing greenhouse gas emissions </w:t>
            </w:r>
            <w:r w:rsidRPr="005A2ACC">
              <w:rPr>
                <w:rFonts w:ascii="Arial" w:hAnsi="Arial" w:cs="Arial"/>
              </w:rPr>
              <w:lastRenderedPageBreak/>
              <w:t>within the principled framework of international environmental law’ 21(8) Climate Policy (2021) 983</w:t>
            </w:r>
          </w:p>
          <w:p w14:paraId="5E8724D7" w14:textId="77777777" w:rsidR="00FA0E4E" w:rsidRDefault="00FA0E4E" w:rsidP="0098775B">
            <w:pPr>
              <w:rPr>
                <w:rFonts w:ascii="Arial" w:hAnsi="Arial" w:cs="Arial"/>
              </w:rPr>
            </w:pPr>
          </w:p>
          <w:p w14:paraId="019D323D" w14:textId="77777777" w:rsidR="00B15473" w:rsidRDefault="00B15473" w:rsidP="00CE36C5">
            <w:pPr>
              <w:ind w:left="360" w:hanging="360"/>
              <w:rPr>
                <w:rFonts w:ascii="Arial" w:hAnsi="Arial" w:cs="Arial"/>
                <w:bCs/>
                <w:i/>
              </w:rPr>
            </w:pPr>
          </w:p>
          <w:p w14:paraId="069CF161" w14:textId="77777777" w:rsidR="00705D7D" w:rsidRDefault="00CE36C5" w:rsidP="00CE36C5">
            <w:pPr>
              <w:rPr>
                <w:rFonts w:ascii="Arial" w:hAnsi="Arial" w:cs="Arial"/>
                <w:b/>
                <w:i/>
              </w:rPr>
            </w:pPr>
            <w:r w:rsidRPr="009701B3">
              <w:rPr>
                <w:rFonts w:ascii="Arial" w:hAnsi="Arial" w:cs="Arial"/>
                <w:b/>
                <w:i/>
              </w:rPr>
              <w:t>Further Reading:</w:t>
            </w:r>
          </w:p>
          <w:p w14:paraId="4DE4D7F3" w14:textId="77777777" w:rsidR="00BA413E" w:rsidRDefault="00BA413E" w:rsidP="00BA413E">
            <w:pPr>
              <w:numPr>
                <w:ilvl w:val="0"/>
                <w:numId w:val="5"/>
              </w:numPr>
              <w:ind w:left="375"/>
              <w:rPr>
                <w:rFonts w:ascii="Arial" w:hAnsi="Arial" w:cs="Arial"/>
              </w:rPr>
            </w:pPr>
            <w:r>
              <w:rPr>
                <w:rFonts w:ascii="Arial" w:hAnsi="Arial" w:cs="Arial"/>
              </w:rPr>
              <w:t>Lucy Maxwell, Sarah Mead, Dennis van Berkel, ‘Standards for adjudicating the next generation of Urgenda-style climate cases’ 13(1) Journal of Human Rights and the Environment (2022) 35</w:t>
            </w:r>
          </w:p>
          <w:p w14:paraId="316CC462" w14:textId="3F28716B" w:rsidR="008D2034" w:rsidRPr="008D2034" w:rsidRDefault="008D2034" w:rsidP="008D2034">
            <w:pPr>
              <w:numPr>
                <w:ilvl w:val="0"/>
                <w:numId w:val="5"/>
              </w:numPr>
              <w:ind w:left="375"/>
              <w:rPr>
                <w:rFonts w:ascii="Arial" w:hAnsi="Arial" w:cs="Arial"/>
              </w:rPr>
            </w:pPr>
            <w:r>
              <w:rPr>
                <w:rFonts w:ascii="Arial" w:hAnsi="Arial" w:cs="Arial"/>
              </w:rPr>
              <w:t>Gerry Liston, ‘</w:t>
            </w:r>
            <w:r w:rsidRPr="00C316A1">
              <w:rPr>
                <w:rFonts w:ascii="Arial" w:hAnsi="Arial" w:cs="Arial"/>
              </w:rPr>
              <w:t>Enhancing the efficacy of climate change litigation: how to resolve the ‘fair share question’ in the context of international human rights law</w:t>
            </w:r>
            <w:r>
              <w:rPr>
                <w:rFonts w:ascii="Arial" w:hAnsi="Arial" w:cs="Arial"/>
              </w:rPr>
              <w:t xml:space="preserve">’ </w:t>
            </w:r>
            <w:r w:rsidRPr="00C316A1">
              <w:rPr>
                <w:rFonts w:ascii="Arial" w:hAnsi="Arial" w:cs="Arial"/>
              </w:rPr>
              <w:t>9</w:t>
            </w:r>
            <w:r>
              <w:rPr>
                <w:rFonts w:ascii="Arial" w:hAnsi="Arial" w:cs="Arial"/>
              </w:rPr>
              <w:t>(</w:t>
            </w:r>
            <w:r w:rsidRPr="00C316A1">
              <w:rPr>
                <w:rFonts w:ascii="Arial" w:hAnsi="Arial" w:cs="Arial"/>
              </w:rPr>
              <w:t>2</w:t>
            </w:r>
            <w:r>
              <w:rPr>
                <w:rFonts w:ascii="Arial" w:hAnsi="Arial" w:cs="Arial"/>
              </w:rPr>
              <w:t xml:space="preserve">) </w:t>
            </w:r>
            <w:r w:rsidRPr="00C316A1">
              <w:rPr>
                <w:rFonts w:ascii="Arial" w:hAnsi="Arial" w:cs="Arial"/>
              </w:rPr>
              <w:t>Cambridge International Law Journal (2020) 241</w:t>
            </w:r>
          </w:p>
          <w:p w14:paraId="53E7ADF6" w14:textId="77777777" w:rsidR="0098775B" w:rsidRPr="0098775B" w:rsidRDefault="0098775B" w:rsidP="0098775B">
            <w:pPr>
              <w:numPr>
                <w:ilvl w:val="0"/>
                <w:numId w:val="5"/>
              </w:numPr>
              <w:ind w:left="375"/>
              <w:rPr>
                <w:rFonts w:ascii="Arial" w:hAnsi="Arial" w:cs="Arial"/>
              </w:rPr>
            </w:pPr>
            <w:r>
              <w:rPr>
                <w:rFonts w:ascii="Arial" w:hAnsi="Arial" w:cs="Arial"/>
              </w:rPr>
              <w:t xml:space="preserve">Kate Dooley et al., </w:t>
            </w:r>
            <w:r w:rsidRPr="006922D1">
              <w:rPr>
                <w:rFonts w:ascii="Arial" w:hAnsi="Arial" w:cs="Arial"/>
              </w:rPr>
              <w:t xml:space="preserve">"Ethical choices behind quantifications of fair contributions under the Paris Agreement." </w:t>
            </w:r>
            <w:r>
              <w:rPr>
                <w:rFonts w:ascii="Arial" w:hAnsi="Arial" w:cs="Arial"/>
              </w:rPr>
              <w:t xml:space="preserve">11(4) </w:t>
            </w:r>
            <w:r w:rsidRPr="006922D1">
              <w:rPr>
                <w:rFonts w:ascii="Arial" w:hAnsi="Arial" w:cs="Arial"/>
              </w:rPr>
              <w:t>Nature Climate Change (2021)</w:t>
            </w:r>
            <w:r>
              <w:rPr>
                <w:rFonts w:ascii="Arial" w:hAnsi="Arial" w:cs="Arial"/>
              </w:rPr>
              <w:t xml:space="preserve"> </w:t>
            </w:r>
            <w:r w:rsidRPr="006922D1">
              <w:rPr>
                <w:rFonts w:ascii="Arial" w:hAnsi="Arial" w:cs="Arial"/>
              </w:rPr>
              <w:t>300.</w:t>
            </w:r>
          </w:p>
          <w:p w14:paraId="7A09A841" w14:textId="77777777" w:rsidR="00E21391" w:rsidRPr="00E21391" w:rsidRDefault="00E21391" w:rsidP="00BA413E">
            <w:pPr>
              <w:ind w:left="375"/>
              <w:rPr>
                <w:rFonts w:ascii="Arial" w:hAnsi="Arial" w:cs="Arial"/>
              </w:rPr>
            </w:pPr>
          </w:p>
          <w:p w14:paraId="5F88C969" w14:textId="77777777" w:rsidR="009110D3" w:rsidRPr="003605CB" w:rsidRDefault="009110D3" w:rsidP="009110D3">
            <w:pPr>
              <w:ind w:left="360" w:hanging="360"/>
              <w:rPr>
                <w:rFonts w:ascii="Arial" w:hAnsi="Arial" w:cs="Arial"/>
              </w:rPr>
            </w:pPr>
          </w:p>
        </w:tc>
      </w:tr>
      <w:tr w:rsidR="0005443C" w:rsidRPr="009239F4" w14:paraId="2C56197E" w14:textId="77777777" w:rsidTr="00190C29">
        <w:trPr>
          <w:trHeight w:val="584"/>
          <w:tblCellSpacing w:w="15" w:type="dxa"/>
        </w:trPr>
        <w:tc>
          <w:tcPr>
            <w:tcW w:w="4969" w:type="pct"/>
            <w:tcBorders>
              <w:top w:val="outset" w:sz="6" w:space="0" w:color="auto"/>
              <w:left w:val="outset" w:sz="6" w:space="0" w:color="auto"/>
              <w:bottom w:val="outset" w:sz="6" w:space="0" w:color="auto"/>
              <w:right w:val="outset" w:sz="6" w:space="0" w:color="auto"/>
            </w:tcBorders>
            <w:shd w:val="clear" w:color="auto" w:fill="auto"/>
            <w:vAlign w:val="center"/>
          </w:tcPr>
          <w:p w14:paraId="2B68E598" w14:textId="77777777" w:rsidR="006A4286" w:rsidRDefault="006A4286" w:rsidP="00EC3307">
            <w:pPr>
              <w:pStyle w:val="EndnoteText"/>
              <w:ind w:left="360" w:hanging="360"/>
              <w:jc w:val="both"/>
              <w:rPr>
                <w:rFonts w:ascii="Arial" w:hAnsi="Arial" w:cs="Arial"/>
                <w:b/>
                <w:sz w:val="24"/>
                <w:szCs w:val="24"/>
              </w:rPr>
            </w:pPr>
          </w:p>
          <w:p w14:paraId="723CD44E" w14:textId="77777777" w:rsidR="0005443C" w:rsidRPr="00235FF3" w:rsidRDefault="006E017D" w:rsidP="00EC3307">
            <w:pPr>
              <w:pStyle w:val="EndnoteText"/>
              <w:ind w:left="360" w:hanging="360"/>
              <w:jc w:val="both"/>
              <w:rPr>
                <w:rFonts w:ascii="Arial" w:hAnsi="Arial" w:cs="Arial"/>
                <w:bCs/>
                <w:sz w:val="24"/>
                <w:szCs w:val="24"/>
              </w:rPr>
            </w:pPr>
            <w:r>
              <w:rPr>
                <w:rFonts w:ascii="Arial" w:hAnsi="Arial" w:cs="Arial"/>
                <w:b/>
                <w:sz w:val="24"/>
                <w:szCs w:val="24"/>
              </w:rPr>
              <w:t>Week 3</w:t>
            </w:r>
            <w:r w:rsidR="0005443C" w:rsidRPr="00B87377">
              <w:rPr>
                <w:rFonts w:ascii="Arial" w:hAnsi="Arial" w:cs="Arial"/>
                <w:b/>
                <w:sz w:val="24"/>
                <w:szCs w:val="24"/>
              </w:rPr>
              <w:t xml:space="preserve">: </w:t>
            </w:r>
            <w:r w:rsidR="00B75534" w:rsidRPr="00B75534">
              <w:rPr>
                <w:rFonts w:ascii="Arial" w:hAnsi="Arial" w:cs="Arial"/>
                <w:b/>
                <w:sz w:val="24"/>
                <w:szCs w:val="24"/>
              </w:rPr>
              <w:t>Intergenerational equity</w:t>
            </w:r>
            <w:r w:rsidR="00A96127">
              <w:rPr>
                <w:rFonts w:ascii="Arial" w:hAnsi="Arial" w:cs="Arial"/>
                <w:b/>
                <w:sz w:val="24"/>
                <w:szCs w:val="24"/>
              </w:rPr>
              <w:t>, extraterritorial obligations</w:t>
            </w:r>
            <w:r w:rsidR="00B75534" w:rsidRPr="00B75534">
              <w:rPr>
                <w:rFonts w:ascii="Arial" w:hAnsi="Arial" w:cs="Arial"/>
                <w:b/>
                <w:sz w:val="24"/>
                <w:szCs w:val="24"/>
              </w:rPr>
              <w:t xml:space="preserve"> and the admissibility hurdles in human rights litigation</w:t>
            </w:r>
          </w:p>
          <w:p w14:paraId="22A9973E" w14:textId="77777777" w:rsidR="00272E9D" w:rsidRDefault="00272E9D" w:rsidP="00EC3307">
            <w:pPr>
              <w:pStyle w:val="EndnoteText"/>
              <w:ind w:left="360" w:hanging="360"/>
              <w:jc w:val="both"/>
              <w:rPr>
                <w:rFonts w:ascii="Arial" w:hAnsi="Arial" w:cs="Arial"/>
                <w:bCs/>
                <w:sz w:val="24"/>
                <w:szCs w:val="24"/>
                <w:lang w:val="en-IE"/>
              </w:rPr>
            </w:pPr>
          </w:p>
          <w:p w14:paraId="5F1BF65F" w14:textId="77777777" w:rsidR="005C6760" w:rsidRPr="005C6760" w:rsidRDefault="00266F4B" w:rsidP="005C6760">
            <w:pPr>
              <w:pStyle w:val="EndnoteText"/>
              <w:jc w:val="both"/>
              <w:rPr>
                <w:rFonts w:ascii="Arial" w:hAnsi="Arial" w:cs="Arial"/>
                <w:bCs/>
                <w:sz w:val="24"/>
                <w:szCs w:val="24"/>
              </w:rPr>
            </w:pPr>
            <w:r w:rsidRPr="00F63CD0">
              <w:rPr>
                <w:rFonts w:ascii="Arial" w:hAnsi="Arial" w:cs="Arial"/>
                <w:bCs/>
                <w:sz w:val="24"/>
                <w:szCs w:val="24"/>
              </w:rPr>
              <w:t>In this session, we explore</w:t>
            </w:r>
            <w:r w:rsidR="00A96127">
              <w:rPr>
                <w:rFonts w:ascii="Arial" w:hAnsi="Arial" w:cs="Arial"/>
                <w:bCs/>
                <w:sz w:val="24"/>
                <w:szCs w:val="24"/>
              </w:rPr>
              <w:t xml:space="preserve"> the</w:t>
            </w:r>
            <w:r w:rsidRPr="00F63CD0">
              <w:rPr>
                <w:rFonts w:ascii="Arial" w:hAnsi="Arial" w:cs="Arial"/>
                <w:bCs/>
                <w:sz w:val="24"/>
                <w:szCs w:val="24"/>
              </w:rPr>
              <w:t xml:space="preserve"> issue of intergenerational </w:t>
            </w:r>
            <w:r w:rsidR="00A96127">
              <w:rPr>
                <w:rFonts w:ascii="Arial" w:hAnsi="Arial" w:cs="Arial"/>
                <w:bCs/>
                <w:sz w:val="24"/>
                <w:szCs w:val="24"/>
              </w:rPr>
              <w:t xml:space="preserve">equity </w:t>
            </w:r>
            <w:r w:rsidR="00860376">
              <w:rPr>
                <w:rFonts w:ascii="Arial" w:hAnsi="Arial" w:cs="Arial"/>
                <w:bCs/>
                <w:sz w:val="24"/>
                <w:szCs w:val="24"/>
              </w:rPr>
              <w:t>as well as</w:t>
            </w:r>
            <w:r w:rsidR="00A96127">
              <w:rPr>
                <w:rFonts w:ascii="Arial" w:hAnsi="Arial" w:cs="Arial"/>
                <w:bCs/>
                <w:sz w:val="24"/>
                <w:szCs w:val="24"/>
              </w:rPr>
              <w:t xml:space="preserve"> other </w:t>
            </w:r>
            <w:r w:rsidR="00860376">
              <w:rPr>
                <w:rFonts w:ascii="Arial" w:hAnsi="Arial" w:cs="Arial"/>
                <w:bCs/>
                <w:sz w:val="24"/>
                <w:szCs w:val="24"/>
              </w:rPr>
              <w:t xml:space="preserve">issues of </w:t>
            </w:r>
            <w:r w:rsidR="00A96127">
              <w:rPr>
                <w:rFonts w:ascii="Arial" w:hAnsi="Arial" w:cs="Arial"/>
                <w:bCs/>
                <w:sz w:val="24"/>
                <w:szCs w:val="24"/>
              </w:rPr>
              <w:t>climate</w:t>
            </w:r>
            <w:r w:rsidRPr="00F63CD0">
              <w:rPr>
                <w:rFonts w:ascii="Arial" w:hAnsi="Arial" w:cs="Arial"/>
                <w:bCs/>
                <w:sz w:val="24"/>
                <w:szCs w:val="24"/>
              </w:rPr>
              <w:t xml:space="preserve"> justice </w:t>
            </w:r>
            <w:r w:rsidR="00A96127">
              <w:rPr>
                <w:rFonts w:ascii="Arial" w:hAnsi="Arial" w:cs="Arial"/>
                <w:bCs/>
                <w:sz w:val="24"/>
                <w:szCs w:val="24"/>
              </w:rPr>
              <w:t>raised by the</w:t>
            </w:r>
            <w:r w:rsidRPr="00F63CD0">
              <w:rPr>
                <w:rFonts w:ascii="Arial" w:hAnsi="Arial" w:cs="Arial"/>
                <w:bCs/>
                <w:sz w:val="24"/>
                <w:szCs w:val="24"/>
              </w:rPr>
              <w:t xml:space="preserve"> admissibility hurdles in human rights</w:t>
            </w:r>
            <w:r w:rsidR="001E6EFA" w:rsidRPr="00F63CD0">
              <w:rPr>
                <w:rFonts w:ascii="Arial" w:hAnsi="Arial" w:cs="Arial"/>
                <w:bCs/>
                <w:sz w:val="24"/>
                <w:szCs w:val="24"/>
              </w:rPr>
              <w:t>-based climate change</w:t>
            </w:r>
            <w:r w:rsidRPr="00F63CD0">
              <w:rPr>
                <w:rFonts w:ascii="Arial" w:hAnsi="Arial" w:cs="Arial"/>
                <w:bCs/>
                <w:sz w:val="24"/>
                <w:szCs w:val="24"/>
              </w:rPr>
              <w:t xml:space="preserve"> litigation at the int</w:t>
            </w:r>
            <w:r w:rsidR="001E6EFA" w:rsidRPr="00F63CD0">
              <w:rPr>
                <w:rFonts w:ascii="Arial" w:hAnsi="Arial" w:cs="Arial"/>
                <w:bCs/>
                <w:sz w:val="24"/>
                <w:szCs w:val="24"/>
              </w:rPr>
              <w:t xml:space="preserve">ernational/regional level: victim status (and the related issue of the applicability of the </w:t>
            </w:r>
            <w:r w:rsidR="00F63CD0" w:rsidRPr="00F63CD0">
              <w:rPr>
                <w:rFonts w:ascii="Arial" w:hAnsi="Arial" w:cs="Arial"/>
                <w:bCs/>
                <w:sz w:val="24"/>
                <w:szCs w:val="24"/>
              </w:rPr>
              <w:t xml:space="preserve">relevant </w:t>
            </w:r>
            <w:r w:rsidR="001E6EFA" w:rsidRPr="00F63CD0">
              <w:rPr>
                <w:rFonts w:ascii="Arial" w:hAnsi="Arial" w:cs="Arial"/>
                <w:bCs/>
                <w:sz w:val="24"/>
                <w:szCs w:val="24"/>
              </w:rPr>
              <w:t xml:space="preserve">human rights </w:t>
            </w:r>
            <w:r w:rsidR="00F63CD0" w:rsidRPr="00F63CD0">
              <w:rPr>
                <w:rFonts w:ascii="Arial" w:hAnsi="Arial" w:cs="Arial"/>
                <w:bCs/>
                <w:sz w:val="24"/>
                <w:szCs w:val="24"/>
              </w:rPr>
              <w:t>to harm from climate change)</w:t>
            </w:r>
            <w:r w:rsidR="00F717BB">
              <w:rPr>
                <w:rFonts w:ascii="Arial" w:hAnsi="Arial" w:cs="Arial"/>
                <w:bCs/>
                <w:sz w:val="24"/>
                <w:szCs w:val="24"/>
              </w:rPr>
              <w:t>,</w:t>
            </w:r>
            <w:r w:rsidR="00F63CD0" w:rsidRPr="00F63CD0">
              <w:rPr>
                <w:rFonts w:ascii="Arial" w:hAnsi="Arial" w:cs="Arial"/>
                <w:bCs/>
                <w:sz w:val="24"/>
                <w:szCs w:val="24"/>
              </w:rPr>
              <w:t xml:space="preserve"> e</w:t>
            </w:r>
            <w:r w:rsidR="001E6EFA" w:rsidRPr="00F63CD0">
              <w:rPr>
                <w:rFonts w:ascii="Arial" w:hAnsi="Arial" w:cs="Arial"/>
                <w:bCs/>
                <w:sz w:val="24"/>
                <w:szCs w:val="24"/>
              </w:rPr>
              <w:t>xhaustion of domestic remedies</w:t>
            </w:r>
            <w:r w:rsidR="00F63CD0" w:rsidRPr="00F63CD0">
              <w:rPr>
                <w:rFonts w:ascii="Arial" w:hAnsi="Arial" w:cs="Arial"/>
                <w:bCs/>
                <w:sz w:val="24"/>
                <w:szCs w:val="24"/>
              </w:rPr>
              <w:t xml:space="preserve"> and</w:t>
            </w:r>
            <w:r w:rsidR="001E6EFA" w:rsidRPr="00F63CD0">
              <w:rPr>
                <w:rFonts w:ascii="Arial" w:hAnsi="Arial" w:cs="Arial"/>
                <w:bCs/>
                <w:sz w:val="24"/>
                <w:szCs w:val="24"/>
              </w:rPr>
              <w:t xml:space="preserve"> extraterritorial jurisdiction. </w:t>
            </w:r>
            <w:r w:rsidR="00F63CD0" w:rsidRPr="00F63CD0">
              <w:rPr>
                <w:rFonts w:ascii="Arial" w:hAnsi="Arial" w:cs="Arial"/>
                <w:bCs/>
                <w:sz w:val="24"/>
                <w:szCs w:val="24"/>
              </w:rPr>
              <w:t>We also examine two domestic climate cases which raise important issues of intergenerational</w:t>
            </w:r>
            <w:r w:rsidR="00A96127">
              <w:rPr>
                <w:rFonts w:ascii="Arial" w:hAnsi="Arial" w:cs="Arial"/>
                <w:bCs/>
                <w:sz w:val="24"/>
                <w:szCs w:val="24"/>
              </w:rPr>
              <w:t xml:space="preserve"> equity</w:t>
            </w:r>
            <w:r w:rsidR="00F63CD0" w:rsidRPr="00F63CD0">
              <w:rPr>
                <w:rFonts w:ascii="Arial" w:hAnsi="Arial" w:cs="Arial"/>
                <w:bCs/>
                <w:sz w:val="24"/>
                <w:szCs w:val="24"/>
              </w:rPr>
              <w:t xml:space="preserve"> and </w:t>
            </w:r>
            <w:r w:rsidR="00A96127">
              <w:rPr>
                <w:rFonts w:ascii="Arial" w:hAnsi="Arial" w:cs="Arial"/>
                <w:bCs/>
                <w:sz w:val="24"/>
                <w:szCs w:val="24"/>
              </w:rPr>
              <w:t>extraterritorial obligations</w:t>
            </w:r>
            <w:r w:rsidR="00F63CD0" w:rsidRPr="00F63CD0">
              <w:rPr>
                <w:rFonts w:ascii="Arial" w:hAnsi="Arial" w:cs="Arial"/>
                <w:bCs/>
                <w:sz w:val="24"/>
                <w:szCs w:val="24"/>
              </w:rPr>
              <w:t>.</w:t>
            </w:r>
          </w:p>
          <w:p w14:paraId="4EC773FA" w14:textId="77777777" w:rsidR="00B07F42" w:rsidRDefault="00B07F42" w:rsidP="00EC3307">
            <w:pPr>
              <w:pStyle w:val="EndnoteText"/>
              <w:ind w:left="360" w:hanging="360"/>
              <w:jc w:val="both"/>
              <w:rPr>
                <w:rFonts w:ascii="Arial" w:hAnsi="Arial" w:cs="Arial"/>
                <w:b/>
                <w:bCs/>
                <w:i/>
                <w:sz w:val="24"/>
                <w:szCs w:val="24"/>
              </w:rPr>
            </w:pPr>
          </w:p>
          <w:p w14:paraId="54B91303" w14:textId="77777777" w:rsidR="00B07F42" w:rsidRPr="009F4344" w:rsidRDefault="00B07F42" w:rsidP="00B07F42">
            <w:pPr>
              <w:ind w:left="360" w:hanging="360"/>
              <w:rPr>
                <w:rFonts w:ascii="Arial" w:hAnsi="Arial" w:cs="Arial"/>
                <w:bCs/>
                <w:i/>
              </w:rPr>
            </w:pPr>
            <w:r w:rsidRPr="009F4344">
              <w:rPr>
                <w:rFonts w:ascii="Arial" w:hAnsi="Arial" w:cs="Arial"/>
                <w:b/>
                <w:i/>
                <w:lang w:val="en-IE"/>
              </w:rPr>
              <w:t>Required Reading</w:t>
            </w:r>
            <w:r>
              <w:rPr>
                <w:rFonts w:ascii="Arial" w:hAnsi="Arial" w:cs="Arial"/>
                <w:bCs/>
              </w:rPr>
              <w:t>:</w:t>
            </w:r>
            <w:r w:rsidRPr="009F4344">
              <w:rPr>
                <w:rFonts w:ascii="Arial" w:hAnsi="Arial" w:cs="Arial"/>
                <w:bCs/>
                <w:i/>
              </w:rPr>
              <w:t xml:space="preserve"> </w:t>
            </w:r>
          </w:p>
          <w:p w14:paraId="5B1B4815" w14:textId="77777777" w:rsidR="00B07F42" w:rsidRDefault="00B07F42" w:rsidP="00B07F42">
            <w:pPr>
              <w:ind w:left="360" w:hanging="360"/>
              <w:rPr>
                <w:rFonts w:ascii="Arial" w:hAnsi="Arial" w:cs="Arial"/>
              </w:rPr>
            </w:pPr>
          </w:p>
          <w:p w14:paraId="40A94058" w14:textId="77777777" w:rsidR="00B75534" w:rsidRPr="00B75534" w:rsidRDefault="00B75534" w:rsidP="00A96127">
            <w:pPr>
              <w:numPr>
                <w:ilvl w:val="0"/>
                <w:numId w:val="11"/>
              </w:numPr>
              <w:rPr>
                <w:rFonts w:ascii="Arial" w:hAnsi="Arial" w:cs="Arial"/>
                <w:i/>
                <w:iCs/>
                <w:lang w:val="en-IE"/>
              </w:rPr>
            </w:pPr>
            <w:r w:rsidRPr="00F717BB">
              <w:rPr>
                <w:rFonts w:ascii="Arial" w:hAnsi="Arial" w:cs="Arial"/>
                <w:lang w:val="en-IE"/>
              </w:rPr>
              <w:t xml:space="preserve">Decision of the German Federal Constitutional Court in </w:t>
            </w:r>
            <w:hyperlink r:id="rId11" w:history="1">
              <w:r w:rsidRPr="00F717BB">
                <w:rPr>
                  <w:rStyle w:val="Hyperlink"/>
                  <w:rFonts w:ascii="Arial" w:hAnsi="Arial" w:cs="Arial"/>
                  <w:i/>
                  <w:iCs/>
                  <w:lang w:val="en-IE"/>
                </w:rPr>
                <w:t>Neubauer v Germany</w:t>
              </w:r>
            </w:hyperlink>
          </w:p>
          <w:p w14:paraId="38164D55" w14:textId="77777777" w:rsidR="00B75534" w:rsidRPr="00B75534" w:rsidRDefault="00B75534" w:rsidP="00A96127">
            <w:pPr>
              <w:numPr>
                <w:ilvl w:val="0"/>
                <w:numId w:val="11"/>
              </w:numPr>
              <w:rPr>
                <w:rFonts w:ascii="Arial" w:hAnsi="Arial" w:cs="Arial"/>
                <w:lang w:val="en-IE"/>
              </w:rPr>
            </w:pPr>
            <w:r w:rsidRPr="00B75534">
              <w:rPr>
                <w:rFonts w:ascii="Arial" w:hAnsi="Arial" w:cs="Arial"/>
                <w:lang w:val="en-IE"/>
              </w:rPr>
              <w:t xml:space="preserve">Decision of the </w:t>
            </w:r>
            <w:r w:rsidRPr="00F717BB">
              <w:rPr>
                <w:rFonts w:ascii="Arial" w:hAnsi="Arial" w:cs="Arial"/>
                <w:lang w:val="en-IE"/>
              </w:rPr>
              <w:t xml:space="preserve">Swiss Supreme Court in </w:t>
            </w:r>
            <w:hyperlink r:id="rId12" w:history="1">
              <w:r w:rsidRPr="00F717BB">
                <w:rPr>
                  <w:rStyle w:val="Hyperlink"/>
                  <w:rFonts w:ascii="Arial" w:hAnsi="Arial" w:cs="Arial"/>
                  <w:i/>
                  <w:iCs/>
                  <w:lang w:val="en-IE"/>
                </w:rPr>
                <w:t>Union of Swiss Senior Women (KlimaSeniorinnen) v Switzerland</w:t>
              </w:r>
            </w:hyperlink>
          </w:p>
          <w:p w14:paraId="4AA175CB" w14:textId="77777777" w:rsidR="00B75534" w:rsidRDefault="00B75534" w:rsidP="00A96127">
            <w:pPr>
              <w:numPr>
                <w:ilvl w:val="0"/>
                <w:numId w:val="11"/>
              </w:numPr>
              <w:rPr>
                <w:rFonts w:ascii="Arial" w:hAnsi="Arial" w:cs="Arial"/>
                <w:lang w:val="en-IE"/>
              </w:rPr>
            </w:pPr>
            <w:r w:rsidRPr="00B75534">
              <w:rPr>
                <w:rFonts w:ascii="Arial" w:hAnsi="Arial" w:cs="Arial"/>
                <w:lang w:val="en-IE"/>
              </w:rPr>
              <w:t xml:space="preserve">Observations of the Applicants </w:t>
            </w:r>
            <w:r w:rsidRPr="00B75534">
              <w:rPr>
                <w:rFonts w:ascii="Arial" w:hAnsi="Arial" w:cs="Arial"/>
                <w:i/>
                <w:iCs/>
                <w:lang w:val="en-IE"/>
              </w:rPr>
              <w:t>in Duarte Agostinho</w:t>
            </w:r>
            <w:r w:rsidRPr="00B75534">
              <w:rPr>
                <w:rFonts w:ascii="Arial" w:hAnsi="Arial" w:cs="Arial"/>
                <w:lang w:val="en-IE"/>
              </w:rPr>
              <w:t xml:space="preserve"> on admissibility (pp. 106-180), the applicability of Articles 2, 3 and 8 and Article 14 (see pp. 181-211</w:t>
            </w:r>
            <w:r w:rsidR="00AF403C">
              <w:rPr>
                <w:rFonts w:ascii="Arial" w:hAnsi="Arial" w:cs="Arial"/>
                <w:lang w:val="en-IE"/>
              </w:rPr>
              <w:t xml:space="preserve"> and pp. 318-320</w:t>
            </w:r>
            <w:r w:rsidRPr="00B75534">
              <w:rPr>
                <w:rFonts w:ascii="Arial" w:hAnsi="Arial" w:cs="Arial"/>
                <w:lang w:val="en-IE"/>
              </w:rPr>
              <w:t>)</w:t>
            </w:r>
          </w:p>
          <w:p w14:paraId="2F30C444" w14:textId="77777777" w:rsidR="00A96127" w:rsidRPr="00B75534" w:rsidRDefault="00A96127" w:rsidP="00A96127">
            <w:pPr>
              <w:numPr>
                <w:ilvl w:val="0"/>
                <w:numId w:val="11"/>
              </w:numPr>
              <w:rPr>
                <w:rFonts w:ascii="Arial" w:hAnsi="Arial" w:cs="Arial"/>
                <w:lang w:val="en-IE"/>
              </w:rPr>
            </w:pPr>
            <w:r w:rsidRPr="00A96127">
              <w:rPr>
                <w:rFonts w:ascii="Arial" w:hAnsi="Arial" w:cs="Arial"/>
                <w:lang w:val="en-IE"/>
              </w:rPr>
              <w:t xml:space="preserve">Observations of Portugal and the United Kingdom in </w:t>
            </w:r>
            <w:r w:rsidRPr="00922823">
              <w:rPr>
                <w:rFonts w:ascii="Arial" w:hAnsi="Arial" w:cs="Arial"/>
                <w:i/>
                <w:iCs/>
                <w:lang w:val="en-IE"/>
              </w:rPr>
              <w:t>Duarte Agostinho</w:t>
            </w:r>
            <w:r w:rsidRPr="00A96127">
              <w:rPr>
                <w:rFonts w:ascii="Arial" w:hAnsi="Arial" w:cs="Arial"/>
                <w:lang w:val="en-IE"/>
              </w:rPr>
              <w:t xml:space="preserve"> on admissibility and the applicability of Article 2, 3 and 8 and Article 14</w:t>
            </w:r>
          </w:p>
          <w:p w14:paraId="7CE61E2B" w14:textId="77777777" w:rsidR="00B07F42" w:rsidRPr="009701B3" w:rsidRDefault="00B07F42" w:rsidP="00B07F42">
            <w:pPr>
              <w:ind w:left="360" w:hanging="360"/>
              <w:rPr>
                <w:rFonts w:ascii="Arial" w:hAnsi="Arial" w:cs="Arial"/>
              </w:rPr>
            </w:pPr>
          </w:p>
          <w:p w14:paraId="2320640A" w14:textId="77777777" w:rsidR="00B07F42" w:rsidRDefault="00B07F42" w:rsidP="00B07F42">
            <w:pPr>
              <w:rPr>
                <w:rFonts w:ascii="Arial" w:hAnsi="Arial" w:cs="Arial"/>
                <w:b/>
                <w:i/>
              </w:rPr>
            </w:pPr>
            <w:r w:rsidRPr="009701B3">
              <w:rPr>
                <w:rFonts w:ascii="Arial" w:hAnsi="Arial" w:cs="Arial"/>
                <w:b/>
                <w:i/>
              </w:rPr>
              <w:t>Further Reading:</w:t>
            </w:r>
          </w:p>
          <w:p w14:paraId="2CAA9665" w14:textId="77777777" w:rsidR="00B75534" w:rsidRDefault="00B75534" w:rsidP="00B75534">
            <w:pPr>
              <w:rPr>
                <w:rFonts w:ascii="Arial" w:hAnsi="Arial" w:cs="Arial"/>
                <w:bCs/>
                <w:iCs/>
                <w:lang w:val="en-IE"/>
              </w:rPr>
            </w:pPr>
          </w:p>
          <w:p w14:paraId="27587477" w14:textId="77777777" w:rsidR="00A96127" w:rsidRPr="00A96127" w:rsidRDefault="00A96127" w:rsidP="00A96127">
            <w:pPr>
              <w:numPr>
                <w:ilvl w:val="0"/>
                <w:numId w:val="11"/>
              </w:numPr>
              <w:rPr>
                <w:rFonts w:ascii="Arial" w:hAnsi="Arial" w:cs="Arial"/>
                <w:lang w:val="en-IE"/>
              </w:rPr>
            </w:pPr>
            <w:r w:rsidRPr="00B75534">
              <w:rPr>
                <w:rFonts w:ascii="Arial" w:hAnsi="Arial" w:cs="Arial"/>
                <w:lang w:val="en-IE"/>
              </w:rPr>
              <w:t xml:space="preserve">Benoit Mayer, </w:t>
            </w:r>
            <w:r w:rsidR="00AF403C">
              <w:rPr>
                <w:rFonts w:ascii="Arial" w:hAnsi="Arial" w:cs="Arial"/>
                <w:lang w:val="en-IE"/>
              </w:rPr>
              <w:t>‘</w:t>
            </w:r>
            <w:r w:rsidRPr="00B75534">
              <w:rPr>
                <w:rFonts w:ascii="Arial" w:hAnsi="Arial" w:cs="Arial"/>
                <w:lang w:val="en-IE"/>
              </w:rPr>
              <w:t>Climate Change Mitigation as an Obligation Under Human Rights Treaties?</w:t>
            </w:r>
            <w:r w:rsidR="00AF403C">
              <w:rPr>
                <w:rFonts w:ascii="Arial" w:hAnsi="Arial" w:cs="Arial"/>
                <w:lang w:val="en-IE"/>
              </w:rPr>
              <w:t>’</w:t>
            </w:r>
            <w:r w:rsidRPr="00B75534">
              <w:rPr>
                <w:rFonts w:ascii="Arial" w:hAnsi="Arial" w:cs="Arial"/>
                <w:lang w:val="en-IE"/>
              </w:rPr>
              <w:t xml:space="preserve"> (2021) 115(3) American Journal of International Law 409</w:t>
            </w:r>
          </w:p>
          <w:p w14:paraId="0778AF8F" w14:textId="77777777" w:rsidR="00B75534" w:rsidRPr="00B75534" w:rsidRDefault="00000000" w:rsidP="00A96127">
            <w:pPr>
              <w:numPr>
                <w:ilvl w:val="0"/>
                <w:numId w:val="11"/>
              </w:numPr>
              <w:rPr>
                <w:rFonts w:ascii="Arial" w:hAnsi="Arial" w:cs="Arial"/>
                <w:bCs/>
                <w:iCs/>
                <w:lang w:val="en-IE"/>
              </w:rPr>
            </w:pPr>
            <w:hyperlink r:id="rId13" w:history="1">
              <w:r w:rsidR="00B75534" w:rsidRPr="00B75534">
                <w:rPr>
                  <w:rStyle w:val="Hyperlink"/>
                  <w:rFonts w:ascii="Arial" w:hAnsi="Arial" w:cs="Arial"/>
                  <w:bCs/>
                  <w:iCs/>
                  <w:lang w:val="en-IE"/>
                </w:rPr>
                <w:t xml:space="preserve">Decision of the UN Committee on the Rights of the Child in </w:t>
              </w:r>
              <w:r w:rsidR="00B75534" w:rsidRPr="00B75534">
                <w:rPr>
                  <w:rStyle w:val="Hyperlink"/>
                  <w:rFonts w:ascii="Arial" w:hAnsi="Arial" w:cs="Arial"/>
                  <w:bCs/>
                  <w:i/>
                  <w:iCs/>
                  <w:lang w:val="en-IE"/>
                </w:rPr>
                <w:t>Saachi and others v Argentina and others</w:t>
              </w:r>
            </w:hyperlink>
            <w:r w:rsidR="00B75534" w:rsidRPr="00B75534">
              <w:rPr>
                <w:rFonts w:ascii="Arial" w:hAnsi="Arial" w:cs="Arial"/>
                <w:bCs/>
                <w:i/>
                <w:iCs/>
                <w:lang w:val="en-IE"/>
              </w:rPr>
              <w:t xml:space="preserve"> [</w:t>
            </w:r>
            <w:r w:rsidR="00B75534">
              <w:rPr>
                <w:rFonts w:ascii="Arial" w:hAnsi="Arial" w:cs="Arial"/>
                <w:bCs/>
                <w:i/>
                <w:iCs/>
                <w:lang w:val="en-IE"/>
              </w:rPr>
              <w:t>N</w:t>
            </w:r>
            <w:r w:rsidR="00B75534" w:rsidRPr="00B75534">
              <w:rPr>
                <w:rFonts w:ascii="Arial" w:hAnsi="Arial" w:cs="Arial"/>
                <w:bCs/>
                <w:i/>
                <w:iCs/>
                <w:lang w:val="en-IE"/>
              </w:rPr>
              <w:t>ote that the Committee issued separate decisions in respect of each Respondent. Regarding the decisions on jurisdiction and victim status, it is only necessary to read the decision in respect of any one Respondent. In relation to exhaustion of domestic remedies, it is appropriate to read the decisions in respect of all Respondents]</w:t>
            </w:r>
          </w:p>
          <w:p w14:paraId="3BF3A883" w14:textId="77777777" w:rsidR="00B75534" w:rsidRPr="00B75534" w:rsidRDefault="00B75534" w:rsidP="00A96127">
            <w:pPr>
              <w:numPr>
                <w:ilvl w:val="0"/>
                <w:numId w:val="11"/>
              </w:numPr>
              <w:rPr>
                <w:rFonts w:ascii="Arial" w:hAnsi="Arial" w:cs="Arial"/>
                <w:bCs/>
                <w:iCs/>
                <w:lang w:val="en-IE"/>
              </w:rPr>
            </w:pPr>
            <w:r w:rsidRPr="00B75534">
              <w:rPr>
                <w:rFonts w:ascii="Arial" w:hAnsi="Arial" w:cs="Arial"/>
                <w:bCs/>
                <w:iCs/>
                <w:lang w:val="en-IE"/>
              </w:rPr>
              <w:t>Helen Keller and Corina Heri, ‘The Future is Now: Climate Cases Before the ECtHR’ (2022) Nordic Journal of Human Rights 1</w:t>
            </w:r>
          </w:p>
          <w:p w14:paraId="0D947FD6" w14:textId="77777777" w:rsidR="00B75534" w:rsidRPr="00B75534" w:rsidRDefault="00B75534" w:rsidP="00A96127">
            <w:pPr>
              <w:numPr>
                <w:ilvl w:val="0"/>
                <w:numId w:val="11"/>
              </w:numPr>
              <w:rPr>
                <w:rFonts w:ascii="Arial" w:hAnsi="Arial" w:cs="Arial"/>
                <w:bCs/>
                <w:iCs/>
                <w:lang w:val="en-IE"/>
              </w:rPr>
            </w:pPr>
            <w:r w:rsidRPr="00B75534">
              <w:rPr>
                <w:rFonts w:ascii="Arial" w:hAnsi="Arial" w:cs="Arial"/>
                <w:bCs/>
                <w:iCs/>
                <w:lang w:val="en-IE"/>
              </w:rPr>
              <w:lastRenderedPageBreak/>
              <w:t xml:space="preserve">Observations of the Applicants in </w:t>
            </w:r>
            <w:r w:rsidRPr="00B75534">
              <w:rPr>
                <w:rFonts w:ascii="Arial" w:hAnsi="Arial" w:cs="Arial"/>
                <w:bCs/>
                <w:i/>
                <w:iCs/>
                <w:lang w:val="en-IE"/>
              </w:rPr>
              <w:t>Union of Swiss Senior Women v Switzerland</w:t>
            </w:r>
            <w:r w:rsidRPr="00B75534">
              <w:rPr>
                <w:rFonts w:ascii="Arial" w:hAnsi="Arial" w:cs="Arial"/>
                <w:bCs/>
                <w:iCs/>
                <w:lang w:val="en-IE"/>
              </w:rPr>
              <w:t xml:space="preserve"> (ECtHR) (</w:t>
            </w:r>
            <w:hyperlink r:id="rId14" w:history="1">
              <w:r w:rsidRPr="00B75534">
                <w:rPr>
                  <w:rStyle w:val="Hyperlink"/>
                  <w:rFonts w:ascii="Arial" w:hAnsi="Arial" w:cs="Arial"/>
                  <w:bCs/>
                  <w:iCs/>
                  <w:lang w:val="en-IE"/>
                </w:rPr>
                <w:t>Summary</w:t>
              </w:r>
            </w:hyperlink>
            <w:r w:rsidRPr="00B75534">
              <w:rPr>
                <w:rFonts w:ascii="Arial" w:hAnsi="Arial" w:cs="Arial"/>
                <w:bCs/>
                <w:iCs/>
                <w:lang w:val="en-IE"/>
              </w:rPr>
              <w:t xml:space="preserve">, </w:t>
            </w:r>
            <w:hyperlink r:id="rId15" w:history="1">
              <w:r w:rsidRPr="00B75534">
                <w:rPr>
                  <w:rStyle w:val="Hyperlink"/>
                  <w:rFonts w:ascii="Arial" w:hAnsi="Arial" w:cs="Arial"/>
                  <w:bCs/>
                  <w:iCs/>
                  <w:lang w:val="en-IE"/>
                </w:rPr>
                <w:t>observations on the facts</w:t>
              </w:r>
            </w:hyperlink>
            <w:r w:rsidRPr="00B75534">
              <w:rPr>
                <w:rFonts w:ascii="Arial" w:hAnsi="Arial" w:cs="Arial"/>
                <w:bCs/>
                <w:iCs/>
                <w:lang w:val="en-IE"/>
              </w:rPr>
              <w:t xml:space="preserve">, </w:t>
            </w:r>
            <w:hyperlink r:id="rId16" w:history="1">
              <w:r w:rsidRPr="00B75534">
                <w:rPr>
                  <w:rStyle w:val="Hyperlink"/>
                  <w:rFonts w:ascii="Arial" w:hAnsi="Arial" w:cs="Arial"/>
                  <w:bCs/>
                  <w:iCs/>
                  <w:lang w:val="en-IE"/>
                </w:rPr>
                <w:t>observations on the law</w:t>
              </w:r>
            </w:hyperlink>
            <w:r w:rsidRPr="00B75534">
              <w:rPr>
                <w:rFonts w:ascii="Arial" w:hAnsi="Arial" w:cs="Arial"/>
                <w:bCs/>
                <w:iCs/>
                <w:lang w:val="en-IE"/>
              </w:rPr>
              <w:t>)</w:t>
            </w:r>
          </w:p>
          <w:p w14:paraId="14F8EAD8" w14:textId="77777777" w:rsidR="0005443C" w:rsidRPr="00A96127" w:rsidRDefault="00B75534" w:rsidP="00B75534">
            <w:pPr>
              <w:numPr>
                <w:ilvl w:val="0"/>
                <w:numId w:val="11"/>
              </w:numPr>
              <w:rPr>
                <w:rFonts w:ascii="Arial" w:hAnsi="Arial" w:cs="Arial"/>
                <w:bCs/>
                <w:iCs/>
                <w:lang w:val="en-IE"/>
              </w:rPr>
            </w:pPr>
            <w:r w:rsidRPr="00B75534">
              <w:rPr>
                <w:rFonts w:ascii="Arial" w:hAnsi="Arial" w:cs="Arial"/>
                <w:bCs/>
                <w:iCs/>
                <w:lang w:val="en-IE"/>
              </w:rPr>
              <w:t>Jasper Mührel, ‘</w:t>
            </w:r>
            <w:hyperlink r:id="rId17" w:history="1">
              <w:r w:rsidRPr="00B75534">
                <w:rPr>
                  <w:rStyle w:val="Hyperlink"/>
                  <w:rFonts w:ascii="Arial" w:hAnsi="Arial" w:cs="Arial"/>
                  <w:bCs/>
                  <w:iCs/>
                  <w:lang w:val="en-IE"/>
                </w:rPr>
                <w:t>All that Glitters is not Gold: The German Constitutional Court’s Climate Ruling and the Protection of Persons Beyond German Territory Against Climate Change Impacts</w:t>
              </w:r>
            </w:hyperlink>
            <w:r w:rsidRPr="00B75534">
              <w:rPr>
                <w:rFonts w:ascii="Arial" w:hAnsi="Arial" w:cs="Arial"/>
                <w:bCs/>
                <w:iCs/>
                <w:lang w:val="en-IE"/>
              </w:rPr>
              <w:t xml:space="preserve">’ Voelkerrechtsblog, 21 March 2021. </w:t>
            </w:r>
          </w:p>
        </w:tc>
      </w:tr>
      <w:tr w:rsidR="00CC0477" w:rsidRPr="009239F4" w14:paraId="22155620" w14:textId="77777777" w:rsidTr="00CC0477">
        <w:trPr>
          <w:trHeight w:val="584"/>
          <w:tblCellSpacing w:w="15" w:type="dxa"/>
        </w:trPr>
        <w:tc>
          <w:tcPr>
            <w:tcW w:w="4969" w:type="pct"/>
            <w:tcBorders>
              <w:top w:val="outset" w:sz="6" w:space="0" w:color="auto"/>
              <w:left w:val="outset" w:sz="6" w:space="0" w:color="auto"/>
              <w:bottom w:val="outset" w:sz="6" w:space="0" w:color="auto"/>
              <w:right w:val="outset" w:sz="6" w:space="0" w:color="auto"/>
            </w:tcBorders>
            <w:shd w:val="clear" w:color="auto" w:fill="auto"/>
            <w:vAlign w:val="center"/>
          </w:tcPr>
          <w:p w14:paraId="7E1CB303" w14:textId="77777777" w:rsidR="00FD6E1D" w:rsidRDefault="00FD6E1D" w:rsidP="009C2981">
            <w:pPr>
              <w:rPr>
                <w:rFonts w:ascii="Arial" w:hAnsi="Arial" w:cs="Arial"/>
                <w:b/>
                <w:lang w:val="en-IE"/>
              </w:rPr>
            </w:pPr>
          </w:p>
          <w:p w14:paraId="2E0C7BCB" w14:textId="77777777" w:rsidR="009676C1" w:rsidRDefault="00491491" w:rsidP="009676C1">
            <w:pPr>
              <w:keepNext/>
              <w:rPr>
                <w:rFonts w:ascii="Arial" w:hAnsi="Arial" w:cs="Arial"/>
                <w:b/>
                <w:lang w:val="en-IE"/>
              </w:rPr>
            </w:pPr>
            <w:r>
              <w:rPr>
                <w:rFonts w:ascii="Arial" w:hAnsi="Arial" w:cs="Arial"/>
                <w:b/>
                <w:lang w:val="en-IE"/>
              </w:rPr>
              <w:t xml:space="preserve">Week </w:t>
            </w:r>
            <w:r w:rsidR="00EC3307">
              <w:rPr>
                <w:rFonts w:ascii="Arial" w:hAnsi="Arial" w:cs="Arial"/>
                <w:b/>
                <w:lang w:val="en-IE"/>
              </w:rPr>
              <w:t>4</w:t>
            </w:r>
            <w:r w:rsidR="009676C1">
              <w:rPr>
                <w:rFonts w:ascii="Arial" w:hAnsi="Arial" w:cs="Arial"/>
                <w:b/>
                <w:lang w:val="en-IE"/>
              </w:rPr>
              <w:t>:</w:t>
            </w:r>
            <w:r w:rsidR="009676C1" w:rsidRPr="00AA2D3A">
              <w:rPr>
                <w:rFonts w:ascii="Arial" w:hAnsi="Arial" w:cs="Arial"/>
                <w:b/>
                <w:lang w:val="en-IE"/>
              </w:rPr>
              <w:t xml:space="preserve"> </w:t>
            </w:r>
            <w:r w:rsidR="00B31E72">
              <w:rPr>
                <w:rFonts w:ascii="Arial" w:hAnsi="Arial" w:cs="Arial"/>
                <w:b/>
                <w:lang w:val="en-IE"/>
              </w:rPr>
              <w:t>‘</w:t>
            </w:r>
            <w:r w:rsidR="00B31E72" w:rsidRPr="00B31E72">
              <w:rPr>
                <w:rFonts w:ascii="Arial" w:hAnsi="Arial" w:cs="Arial"/>
                <w:b/>
                <w:lang w:val="en-IE"/>
              </w:rPr>
              <w:t>Non-territorial emissions</w:t>
            </w:r>
            <w:r w:rsidR="00B31E72">
              <w:rPr>
                <w:rFonts w:ascii="Arial" w:hAnsi="Arial" w:cs="Arial"/>
                <w:b/>
                <w:lang w:val="en-IE"/>
              </w:rPr>
              <w:t>’</w:t>
            </w:r>
            <w:r w:rsidR="00B31E72" w:rsidRPr="00B31E72">
              <w:rPr>
                <w:rFonts w:ascii="Arial" w:hAnsi="Arial" w:cs="Arial"/>
                <w:b/>
                <w:lang w:val="en-IE"/>
              </w:rPr>
              <w:t xml:space="preserve">, corporate responsibility and individual (criminal/civil) liability </w:t>
            </w:r>
          </w:p>
          <w:p w14:paraId="2FF5DE68" w14:textId="77777777" w:rsidR="00B31E72" w:rsidRDefault="00B31E72" w:rsidP="009676C1">
            <w:pPr>
              <w:keepNext/>
              <w:rPr>
                <w:rFonts w:ascii="Arial" w:hAnsi="Arial" w:cs="Arial"/>
                <w:lang w:val="en-IE"/>
              </w:rPr>
            </w:pPr>
          </w:p>
          <w:p w14:paraId="06621673" w14:textId="77777777" w:rsidR="009676C1" w:rsidRPr="00A15114" w:rsidRDefault="00A15114" w:rsidP="009676C1">
            <w:pPr>
              <w:rPr>
                <w:rFonts w:ascii="Arial" w:hAnsi="Arial" w:cs="Arial"/>
                <w:bCs/>
                <w:iCs/>
                <w:lang w:val="en-IE"/>
              </w:rPr>
            </w:pPr>
            <w:r w:rsidRPr="00A15114">
              <w:rPr>
                <w:rFonts w:ascii="Arial" w:hAnsi="Arial" w:cs="Arial"/>
                <w:bCs/>
                <w:iCs/>
                <w:lang w:val="en-IE"/>
              </w:rPr>
              <w:t>This final class examines issues of climate justice which arise in relation the contributions of a State, or non-State actors within that State, to emissions released beyond its borders. In doing so, it focuses on the three categories of non-territorial emissions addressed in Duarte Agostinho, namely: those associated with the combustion of exported of fossil fuels; emissions ‘embodied’ in imported goods and the emissions of companies domiciled within a State’s jurisdiction. It also examines emerging trends in individual criminal/civil liability for serious environmental harm.</w:t>
            </w:r>
          </w:p>
          <w:p w14:paraId="7C03E502" w14:textId="77777777" w:rsidR="00A15114" w:rsidRDefault="00A15114" w:rsidP="009676C1">
            <w:pPr>
              <w:rPr>
                <w:rFonts w:ascii="Arial" w:hAnsi="Arial" w:cs="Arial"/>
                <w:b/>
                <w:i/>
                <w:lang w:val="en-IE"/>
              </w:rPr>
            </w:pPr>
          </w:p>
          <w:p w14:paraId="3C757683" w14:textId="77777777" w:rsidR="009676C1" w:rsidRPr="00947AEC" w:rsidRDefault="009676C1" w:rsidP="009C2981">
            <w:pPr>
              <w:rPr>
                <w:rFonts w:ascii="Arial" w:hAnsi="Arial" w:cs="Arial"/>
                <w:b/>
                <w:i/>
                <w:lang w:val="en-IE"/>
              </w:rPr>
            </w:pPr>
            <w:r w:rsidRPr="001E12E4">
              <w:rPr>
                <w:rFonts w:ascii="Arial" w:hAnsi="Arial" w:cs="Arial"/>
                <w:b/>
                <w:i/>
                <w:lang w:val="en-IE"/>
              </w:rPr>
              <w:t>Required Reading</w:t>
            </w:r>
          </w:p>
          <w:p w14:paraId="015051F1" w14:textId="77777777" w:rsidR="00A15114" w:rsidRPr="00A15114" w:rsidRDefault="00A15114" w:rsidP="00A15114">
            <w:pPr>
              <w:numPr>
                <w:ilvl w:val="0"/>
                <w:numId w:val="4"/>
              </w:numPr>
              <w:rPr>
                <w:rFonts w:ascii="Arial" w:hAnsi="Arial" w:cs="Arial"/>
              </w:rPr>
            </w:pPr>
            <w:r w:rsidRPr="00A15114">
              <w:rPr>
                <w:rFonts w:ascii="Arial" w:hAnsi="Arial" w:cs="Arial"/>
              </w:rPr>
              <w:t xml:space="preserve">Section VI of the Statement of facts accompanying Ireland’s first observations in </w:t>
            </w:r>
            <w:r w:rsidRPr="00A15114">
              <w:rPr>
                <w:rFonts w:ascii="Arial" w:hAnsi="Arial" w:cs="Arial"/>
                <w:i/>
                <w:iCs/>
              </w:rPr>
              <w:t>Duarte Agostinho</w:t>
            </w:r>
            <w:r w:rsidRPr="00A15114">
              <w:rPr>
                <w:rFonts w:ascii="Arial" w:hAnsi="Arial" w:cs="Arial"/>
              </w:rPr>
              <w:t xml:space="preserve"> (pp. 46-54). </w:t>
            </w:r>
          </w:p>
          <w:p w14:paraId="01642F92" w14:textId="77777777" w:rsidR="00A15114" w:rsidRPr="00A15114" w:rsidRDefault="00A15114" w:rsidP="00A15114">
            <w:pPr>
              <w:numPr>
                <w:ilvl w:val="0"/>
                <w:numId w:val="4"/>
              </w:numPr>
              <w:rPr>
                <w:rFonts w:ascii="Arial" w:hAnsi="Arial" w:cs="Arial"/>
              </w:rPr>
            </w:pPr>
            <w:r w:rsidRPr="00A15114">
              <w:rPr>
                <w:rFonts w:ascii="Arial" w:hAnsi="Arial" w:cs="Arial"/>
              </w:rPr>
              <w:t xml:space="preserve">Observations of the Applicants in </w:t>
            </w:r>
            <w:r w:rsidRPr="00A15114">
              <w:rPr>
                <w:rFonts w:ascii="Arial" w:hAnsi="Arial" w:cs="Arial"/>
                <w:i/>
                <w:iCs/>
              </w:rPr>
              <w:t>Duarte Agostinho</w:t>
            </w:r>
            <w:r w:rsidRPr="00A15114">
              <w:rPr>
                <w:rFonts w:ascii="Arial" w:hAnsi="Arial" w:cs="Arial"/>
              </w:rPr>
              <w:t>: Duty and Breach regarding non-territorial emissions (pp. 295-317)</w:t>
            </w:r>
          </w:p>
          <w:p w14:paraId="7B819D2C" w14:textId="77777777" w:rsidR="00A15114" w:rsidRPr="00A15114" w:rsidRDefault="00A15114" w:rsidP="00A15114">
            <w:pPr>
              <w:numPr>
                <w:ilvl w:val="0"/>
                <w:numId w:val="4"/>
              </w:numPr>
              <w:rPr>
                <w:rFonts w:ascii="Arial" w:hAnsi="Arial" w:cs="Arial"/>
              </w:rPr>
            </w:pPr>
            <w:r w:rsidRPr="00A15114">
              <w:rPr>
                <w:rFonts w:ascii="Arial" w:hAnsi="Arial" w:cs="Arial"/>
              </w:rPr>
              <w:t xml:space="preserve">Expert Report of Michael Mehling and Harro van Asselt submitted by the Applicants in </w:t>
            </w:r>
            <w:r w:rsidRPr="00A15114">
              <w:rPr>
                <w:rFonts w:ascii="Arial" w:hAnsi="Arial" w:cs="Arial"/>
                <w:i/>
                <w:iCs/>
              </w:rPr>
              <w:t>Duarte Agostinho</w:t>
            </w:r>
          </w:p>
          <w:p w14:paraId="3677A1F9" w14:textId="77777777" w:rsidR="00A15114" w:rsidRPr="00A15114" w:rsidRDefault="00A15114" w:rsidP="00A15114">
            <w:pPr>
              <w:numPr>
                <w:ilvl w:val="0"/>
                <w:numId w:val="4"/>
              </w:numPr>
              <w:rPr>
                <w:rFonts w:ascii="Arial" w:hAnsi="Arial" w:cs="Arial"/>
              </w:rPr>
            </w:pPr>
            <w:r w:rsidRPr="00A15114">
              <w:rPr>
                <w:rFonts w:ascii="Arial" w:hAnsi="Arial" w:cs="Arial"/>
              </w:rPr>
              <w:t xml:space="preserve">Section V(B)(6)(f) (pp. 90-93) of Ireland’s second observations in </w:t>
            </w:r>
            <w:r w:rsidRPr="00A15114">
              <w:rPr>
                <w:rFonts w:ascii="Arial" w:hAnsi="Arial" w:cs="Arial"/>
                <w:i/>
                <w:iCs/>
              </w:rPr>
              <w:t>Duarte Agostinho</w:t>
            </w:r>
          </w:p>
          <w:p w14:paraId="268D97DD" w14:textId="77777777" w:rsidR="00A15114" w:rsidRPr="00A15114" w:rsidRDefault="00A15114" w:rsidP="00A15114">
            <w:pPr>
              <w:numPr>
                <w:ilvl w:val="0"/>
                <w:numId w:val="4"/>
              </w:numPr>
              <w:rPr>
                <w:rFonts w:ascii="Arial" w:hAnsi="Arial" w:cs="Arial"/>
              </w:rPr>
            </w:pPr>
            <w:r w:rsidRPr="00A15114">
              <w:rPr>
                <w:rFonts w:ascii="Arial" w:hAnsi="Arial" w:cs="Arial"/>
              </w:rPr>
              <w:t>Arvind P. Ravikumar, ‘</w:t>
            </w:r>
            <w:hyperlink r:id="rId18" w:history="1">
              <w:r w:rsidRPr="00A15114">
                <w:rPr>
                  <w:rStyle w:val="Hyperlink"/>
                  <w:rFonts w:ascii="Arial" w:hAnsi="Arial" w:cs="Arial"/>
                </w:rPr>
                <w:t>Carbon border taxes are unjust</w:t>
              </w:r>
            </w:hyperlink>
            <w:r w:rsidRPr="00A15114">
              <w:rPr>
                <w:rFonts w:ascii="Arial" w:hAnsi="Arial" w:cs="Arial"/>
              </w:rPr>
              <w:t>’ (27 July 2020) MIT Technology Review</w:t>
            </w:r>
          </w:p>
          <w:p w14:paraId="2107BAED" w14:textId="77777777" w:rsidR="00A15114" w:rsidRPr="00A15114" w:rsidRDefault="00A15114" w:rsidP="00A15114">
            <w:pPr>
              <w:numPr>
                <w:ilvl w:val="0"/>
                <w:numId w:val="4"/>
              </w:numPr>
              <w:rPr>
                <w:rFonts w:ascii="Arial" w:hAnsi="Arial" w:cs="Arial"/>
              </w:rPr>
            </w:pPr>
            <w:r w:rsidRPr="00A15114">
              <w:rPr>
                <w:rFonts w:ascii="Arial" w:hAnsi="Arial" w:cs="Arial"/>
              </w:rPr>
              <w:t>Dan Calverley and Kevin Anderson, “</w:t>
            </w:r>
            <w:hyperlink r:id="rId19" w:history="1">
              <w:r w:rsidRPr="00A15114">
                <w:rPr>
                  <w:rStyle w:val="Hyperlink"/>
                  <w:rFonts w:ascii="Arial" w:hAnsi="Arial" w:cs="Arial"/>
                </w:rPr>
                <w:t>Phaseout Pathways for Fossil Fuel Production Within Paris-compliant Carbon Budgets</w:t>
              </w:r>
            </w:hyperlink>
            <w:r w:rsidRPr="00A15114">
              <w:rPr>
                <w:rFonts w:ascii="Arial" w:hAnsi="Arial" w:cs="Arial"/>
              </w:rPr>
              <w:t>”, Sections 1 (pp. 8-14), 5, 6 and 7 (pp. 37-56)</w:t>
            </w:r>
          </w:p>
          <w:p w14:paraId="409ACE12" w14:textId="77777777" w:rsidR="00A15114" w:rsidRPr="00A15114" w:rsidRDefault="00A15114" w:rsidP="00A15114">
            <w:pPr>
              <w:ind w:left="676"/>
              <w:rPr>
                <w:rFonts w:ascii="Arial" w:hAnsi="Arial" w:cs="Arial"/>
              </w:rPr>
            </w:pPr>
          </w:p>
          <w:p w14:paraId="0DE05651" w14:textId="77777777" w:rsidR="005C6760" w:rsidRPr="00A15114" w:rsidRDefault="005C6760" w:rsidP="005C6760">
            <w:pPr>
              <w:rPr>
                <w:rFonts w:ascii="Arial" w:hAnsi="Arial" w:cs="Arial"/>
              </w:rPr>
            </w:pPr>
          </w:p>
          <w:p w14:paraId="725C29BB" w14:textId="77777777" w:rsidR="005C6760" w:rsidRPr="00A15114" w:rsidRDefault="005C6760" w:rsidP="005C6760">
            <w:pPr>
              <w:rPr>
                <w:rFonts w:ascii="Arial" w:hAnsi="Arial" w:cs="Arial"/>
                <w:b/>
                <w:bCs/>
                <w:i/>
                <w:iCs/>
              </w:rPr>
            </w:pPr>
            <w:r w:rsidRPr="00A15114">
              <w:rPr>
                <w:rFonts w:ascii="Arial" w:hAnsi="Arial" w:cs="Arial"/>
                <w:b/>
                <w:bCs/>
                <w:i/>
                <w:iCs/>
              </w:rPr>
              <w:t>Further Reading</w:t>
            </w:r>
          </w:p>
          <w:p w14:paraId="54B9CFA3" w14:textId="77777777" w:rsidR="00A15114" w:rsidRPr="00A15114" w:rsidRDefault="00A15114" w:rsidP="00A15114">
            <w:pPr>
              <w:numPr>
                <w:ilvl w:val="0"/>
                <w:numId w:val="4"/>
              </w:numPr>
              <w:rPr>
                <w:rFonts w:ascii="Arial" w:hAnsi="Arial" w:cs="Arial"/>
              </w:rPr>
            </w:pPr>
            <w:r w:rsidRPr="00A15114">
              <w:rPr>
                <w:rFonts w:ascii="Arial" w:hAnsi="Arial" w:cs="Arial"/>
              </w:rPr>
              <w:t xml:space="preserve">Geetanjali Ganguly, Joana Setzer and Verl Heyvaert, ‘If at first you don’t succeed: Suing Corporations for Climate Change’ 38(4) </w:t>
            </w:r>
            <w:r w:rsidRPr="00A15114">
              <w:rPr>
                <w:rFonts w:ascii="Arial" w:hAnsi="Arial" w:cs="Arial"/>
                <w:i/>
              </w:rPr>
              <w:t xml:space="preserve">Oxford Journal of Legal Studies </w:t>
            </w:r>
            <w:r w:rsidRPr="00A15114">
              <w:rPr>
                <w:rFonts w:ascii="Arial" w:hAnsi="Arial" w:cs="Arial"/>
              </w:rPr>
              <w:t xml:space="preserve">(2018) 841-868. </w:t>
            </w:r>
          </w:p>
          <w:p w14:paraId="775F7ED9" w14:textId="77777777" w:rsidR="00A15114" w:rsidRPr="00A15114" w:rsidRDefault="00A15114" w:rsidP="00A15114">
            <w:pPr>
              <w:numPr>
                <w:ilvl w:val="0"/>
                <w:numId w:val="4"/>
              </w:numPr>
              <w:rPr>
                <w:rFonts w:ascii="Arial" w:hAnsi="Arial" w:cs="Arial"/>
              </w:rPr>
            </w:pPr>
            <w:r w:rsidRPr="00A15114">
              <w:rPr>
                <w:rFonts w:ascii="Arial" w:hAnsi="Arial" w:cs="Arial"/>
              </w:rPr>
              <w:t xml:space="preserve">Decision of the Hague District Court in </w:t>
            </w:r>
            <w:hyperlink r:id="rId20" w:history="1">
              <w:r w:rsidRPr="00A15114">
                <w:rPr>
                  <w:rStyle w:val="Hyperlink"/>
                  <w:rFonts w:ascii="Arial" w:hAnsi="Arial" w:cs="Arial"/>
                  <w:i/>
                  <w:iCs/>
                </w:rPr>
                <w:t>Milieudefensie v Shell</w:t>
              </w:r>
            </w:hyperlink>
          </w:p>
          <w:p w14:paraId="2592347C" w14:textId="77777777" w:rsidR="00A15114" w:rsidRPr="00A15114" w:rsidRDefault="00A15114" w:rsidP="00A15114">
            <w:pPr>
              <w:numPr>
                <w:ilvl w:val="0"/>
                <w:numId w:val="4"/>
              </w:numPr>
              <w:rPr>
                <w:rFonts w:ascii="Arial" w:hAnsi="Arial" w:cs="Arial"/>
              </w:rPr>
            </w:pPr>
            <w:r w:rsidRPr="00A15114">
              <w:rPr>
                <w:rFonts w:ascii="Arial" w:hAnsi="Arial" w:cs="Arial"/>
              </w:rPr>
              <w:t xml:space="preserve">Decision of the Norwegian Supreme Court in </w:t>
            </w:r>
            <w:hyperlink r:id="rId21" w:history="1">
              <w:r w:rsidRPr="00A15114">
                <w:rPr>
                  <w:rStyle w:val="Hyperlink"/>
                  <w:rFonts w:ascii="Arial" w:hAnsi="Arial" w:cs="Arial"/>
                  <w:i/>
                  <w:iCs/>
                </w:rPr>
                <w:t>Nature and Youth Norway et al. v Norway</w:t>
              </w:r>
            </w:hyperlink>
          </w:p>
          <w:p w14:paraId="74F43104" w14:textId="77777777" w:rsidR="00A15114" w:rsidRPr="00A15114" w:rsidRDefault="00A15114" w:rsidP="00A15114">
            <w:pPr>
              <w:numPr>
                <w:ilvl w:val="0"/>
                <w:numId w:val="4"/>
              </w:numPr>
              <w:rPr>
                <w:rFonts w:ascii="Arial" w:hAnsi="Arial" w:cs="Arial"/>
              </w:rPr>
            </w:pPr>
            <w:r w:rsidRPr="00A15114">
              <w:rPr>
                <w:rFonts w:ascii="Arial" w:hAnsi="Arial" w:cs="Arial"/>
              </w:rPr>
              <w:t xml:space="preserve">ClientEarth, </w:t>
            </w:r>
            <w:hyperlink r:id="rId22" w:history="1">
              <w:r w:rsidRPr="00A15114">
                <w:rPr>
                  <w:rStyle w:val="Hyperlink"/>
                  <w:rFonts w:ascii="Arial" w:hAnsi="Arial" w:cs="Arial"/>
                </w:rPr>
                <w:t>ClientEarth shareholder litigation against Shell’s Board FAQ</w:t>
              </w:r>
            </w:hyperlink>
            <w:r w:rsidRPr="00A15114">
              <w:rPr>
                <w:rFonts w:ascii="Arial" w:hAnsi="Arial" w:cs="Arial"/>
              </w:rPr>
              <w:t xml:space="preserve"> (March 2022)</w:t>
            </w:r>
          </w:p>
          <w:p w14:paraId="57095A97" w14:textId="77777777" w:rsidR="00A15114" w:rsidRPr="00A15114" w:rsidRDefault="00A15114" w:rsidP="00A15114">
            <w:pPr>
              <w:numPr>
                <w:ilvl w:val="0"/>
                <w:numId w:val="4"/>
              </w:numPr>
              <w:rPr>
                <w:rFonts w:ascii="Arial" w:hAnsi="Arial" w:cs="Arial"/>
              </w:rPr>
            </w:pPr>
            <w:r w:rsidRPr="00A15114">
              <w:rPr>
                <w:rFonts w:ascii="Arial" w:hAnsi="Arial" w:cs="Arial"/>
              </w:rPr>
              <w:t xml:space="preserve">Ricardo Pereira, ‘After the ICC Office of the Prosecutor’s 2016 Policy Paper on case Selection and Prioritisation: Towards an International Crime of Ecocide?’, </w:t>
            </w:r>
            <w:r w:rsidRPr="00A15114">
              <w:rPr>
                <w:rFonts w:ascii="Arial" w:hAnsi="Arial" w:cs="Arial"/>
                <w:i/>
                <w:iCs/>
              </w:rPr>
              <w:t xml:space="preserve">Criminal Law Forum </w:t>
            </w:r>
            <w:r w:rsidRPr="00A15114">
              <w:rPr>
                <w:rFonts w:ascii="Arial" w:hAnsi="Arial" w:cs="Arial"/>
              </w:rPr>
              <w:t>31</w:t>
            </w:r>
            <w:r w:rsidRPr="00A15114">
              <w:rPr>
                <w:rFonts w:ascii="Arial" w:hAnsi="Arial" w:cs="Arial"/>
                <w:i/>
                <w:iCs/>
              </w:rPr>
              <w:t xml:space="preserve"> </w:t>
            </w:r>
            <w:r w:rsidRPr="00A15114">
              <w:rPr>
                <w:rFonts w:ascii="Arial" w:hAnsi="Arial" w:cs="Arial"/>
              </w:rPr>
              <w:t>(2020) 179.</w:t>
            </w:r>
          </w:p>
          <w:p w14:paraId="1CE541AD" w14:textId="77777777" w:rsidR="00A15114" w:rsidRPr="00A15114" w:rsidRDefault="00A15114" w:rsidP="00A15114">
            <w:pPr>
              <w:numPr>
                <w:ilvl w:val="0"/>
                <w:numId w:val="4"/>
              </w:numPr>
              <w:rPr>
                <w:rFonts w:ascii="Arial" w:hAnsi="Arial" w:cs="Arial"/>
              </w:rPr>
            </w:pPr>
            <w:r w:rsidRPr="00A15114">
              <w:rPr>
                <w:rFonts w:ascii="Arial" w:hAnsi="Arial" w:cs="Arial"/>
              </w:rPr>
              <w:t>Michael Karnavas, ‘</w:t>
            </w:r>
            <w:hyperlink r:id="rId23" w:history="1">
              <w:r w:rsidRPr="00A15114">
                <w:rPr>
                  <w:rStyle w:val="Hyperlink"/>
                  <w:rFonts w:ascii="Arial" w:hAnsi="Arial" w:cs="Arial"/>
                </w:rPr>
                <w:t>Ecocide: Environmental Crime of Crimes or Ill-Conceived Concept</w:t>
              </w:r>
            </w:hyperlink>
            <w:r w:rsidRPr="00A15114">
              <w:rPr>
                <w:rFonts w:ascii="Arial" w:hAnsi="Arial" w:cs="Arial"/>
              </w:rPr>
              <w:t xml:space="preserve">?’ 29 July 2021, </w:t>
            </w:r>
            <w:r w:rsidRPr="00A15114">
              <w:rPr>
                <w:rFonts w:ascii="Arial" w:hAnsi="Arial" w:cs="Arial"/>
                <w:i/>
                <w:iCs/>
              </w:rPr>
              <w:t>Opinio Juris</w:t>
            </w:r>
          </w:p>
        </w:tc>
      </w:tr>
    </w:tbl>
    <w:p w14:paraId="2795E005" w14:textId="77777777" w:rsidR="009B1F84" w:rsidRDefault="009B1F84" w:rsidP="009B1F84">
      <w:pPr>
        <w:rPr>
          <w:rFonts w:ascii="Arial" w:hAnsi="Arial" w:cs="Arial"/>
          <w:lang w:val="en-IE"/>
        </w:rPr>
      </w:pPr>
    </w:p>
    <w:p w14:paraId="3BBFE3DA" w14:textId="77777777" w:rsidR="00683715" w:rsidRPr="009B1F84" w:rsidRDefault="00683715">
      <w:pPr>
        <w:rPr>
          <w:rFonts w:ascii="Arial" w:hAnsi="Arial" w:cs="Arial"/>
          <w:lang w:val="en-IE"/>
        </w:rPr>
      </w:pPr>
    </w:p>
    <w:sectPr w:rsidR="00683715" w:rsidRPr="009B1F84" w:rsidSect="009B1F84">
      <w:headerReference w:type="default" r:id="rId24"/>
      <w:footerReference w:type="default" r:id="rId25"/>
      <w:pgSz w:w="11906" w:h="16838"/>
      <w:pgMar w:top="125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C394A" w14:textId="77777777" w:rsidR="00B61FA5" w:rsidRDefault="00B61FA5">
      <w:r>
        <w:separator/>
      </w:r>
    </w:p>
  </w:endnote>
  <w:endnote w:type="continuationSeparator" w:id="0">
    <w:p w14:paraId="45145262" w14:textId="77777777" w:rsidR="00B61FA5" w:rsidRDefault="00B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9140" w14:textId="77777777" w:rsidR="001D6590" w:rsidRPr="00A22DF4" w:rsidRDefault="00744625" w:rsidP="009B1F84">
    <w:pPr>
      <w:pStyle w:val="Footer"/>
      <w:tabs>
        <w:tab w:val="clear" w:pos="8306"/>
        <w:tab w:val="right" w:pos="9180"/>
      </w:tabs>
      <w:rPr>
        <w:rFonts w:ascii="Verdana" w:hAnsi="Verdana"/>
        <w:b/>
        <w:bCs/>
        <w:sz w:val="16"/>
        <w:szCs w:val="16"/>
      </w:rPr>
    </w:pPr>
    <w:r>
      <w:rPr>
        <w:rFonts w:ascii="Verdana" w:hAnsi="Verdana"/>
        <w:b/>
        <w:bCs/>
        <w:sz w:val="16"/>
        <w:szCs w:val="16"/>
        <w:lang w:val="en-US"/>
      </w:rPr>
      <w:t>Gerry Liston</w:t>
    </w:r>
    <w:r w:rsidR="001D6590">
      <w:rPr>
        <w:rFonts w:ascii="Verdana" w:hAnsi="Verdana"/>
        <w:b/>
        <w:bCs/>
        <w:sz w:val="16"/>
        <w:szCs w:val="16"/>
        <w:lang w:val="en-US"/>
      </w:rPr>
      <w:t xml:space="preserve">| </w:t>
    </w:r>
    <w:r w:rsidR="00D9705D">
      <w:rPr>
        <w:rFonts w:ascii="Verdana" w:hAnsi="Verdana"/>
        <w:b/>
        <w:bCs/>
        <w:sz w:val="16"/>
        <w:szCs w:val="16"/>
        <w:lang w:val="en-US"/>
      </w:rPr>
      <w:t>Climate Justice</w:t>
    </w:r>
    <w:r w:rsidR="001D6590">
      <w:rPr>
        <w:rFonts w:ascii="Verdana" w:hAnsi="Verdana"/>
        <w:b/>
        <w:bCs/>
        <w:sz w:val="16"/>
        <w:szCs w:val="16"/>
        <w:lang w:val="en-US"/>
      </w:rPr>
      <w:t xml:space="preserve"> | LW</w:t>
    </w:r>
    <w:r w:rsidR="004E78EC">
      <w:rPr>
        <w:rFonts w:ascii="Verdana" w:hAnsi="Verdana"/>
        <w:b/>
        <w:bCs/>
        <w:sz w:val="16"/>
        <w:szCs w:val="16"/>
        <w:lang w:val="en-US"/>
      </w:rPr>
      <w:t>5</w:t>
    </w:r>
    <w:r w:rsidR="006E5240">
      <w:rPr>
        <w:rFonts w:ascii="Verdana" w:hAnsi="Verdana"/>
        <w:b/>
        <w:bCs/>
        <w:sz w:val="16"/>
        <w:szCs w:val="16"/>
        <w:lang w:val="en-US"/>
      </w:rPr>
      <w:t>124</w:t>
    </w:r>
    <w:r w:rsidR="001D6590" w:rsidRPr="00A22DF4">
      <w:rPr>
        <w:rFonts w:ascii="Verdana" w:hAnsi="Verdana"/>
        <w:b/>
        <w:bCs/>
        <w:sz w:val="16"/>
        <w:szCs w:val="16"/>
        <w:lang w:val="en-US"/>
      </w:rPr>
      <w:tab/>
    </w:r>
    <w:r w:rsidR="001D6590">
      <w:rPr>
        <w:rFonts w:ascii="Verdana" w:hAnsi="Verdana"/>
        <w:b/>
        <w:bCs/>
        <w:sz w:val="16"/>
        <w:szCs w:val="16"/>
        <w:lang w:val="en-US"/>
      </w:rPr>
      <w:t xml:space="preserve">  </w:t>
    </w:r>
    <w:r w:rsidR="001D6590" w:rsidRPr="00A22DF4">
      <w:rPr>
        <w:rFonts w:ascii="Verdana" w:hAnsi="Verdana"/>
        <w:b/>
        <w:bCs/>
        <w:sz w:val="16"/>
        <w:szCs w:val="16"/>
        <w:lang w:val="en-US"/>
      </w:rPr>
      <w:t xml:space="preserve">Page </w:t>
    </w:r>
    <w:r w:rsidR="001D6590" w:rsidRPr="00A22DF4">
      <w:rPr>
        <w:rFonts w:ascii="Verdana" w:hAnsi="Verdana"/>
        <w:b/>
        <w:bCs/>
        <w:sz w:val="16"/>
        <w:szCs w:val="16"/>
        <w:lang w:val="en-US"/>
      </w:rPr>
      <w:fldChar w:fldCharType="begin"/>
    </w:r>
    <w:r w:rsidR="001D6590" w:rsidRPr="00A22DF4">
      <w:rPr>
        <w:rFonts w:ascii="Verdana" w:hAnsi="Verdana"/>
        <w:b/>
        <w:bCs/>
        <w:sz w:val="16"/>
        <w:szCs w:val="16"/>
        <w:lang w:val="en-US"/>
      </w:rPr>
      <w:instrText xml:space="preserve"> PAGE </w:instrText>
    </w:r>
    <w:r w:rsidR="001D6590" w:rsidRPr="00A22DF4">
      <w:rPr>
        <w:rFonts w:ascii="Verdana" w:hAnsi="Verdana"/>
        <w:b/>
        <w:bCs/>
        <w:sz w:val="16"/>
        <w:szCs w:val="16"/>
        <w:lang w:val="en-US"/>
      </w:rPr>
      <w:fldChar w:fldCharType="separate"/>
    </w:r>
    <w:r w:rsidR="007D61FF">
      <w:rPr>
        <w:rFonts w:ascii="Verdana" w:hAnsi="Verdana"/>
        <w:b/>
        <w:bCs/>
        <w:noProof/>
        <w:sz w:val="16"/>
        <w:szCs w:val="16"/>
        <w:lang w:val="en-US"/>
      </w:rPr>
      <w:t>1</w:t>
    </w:r>
    <w:r w:rsidR="001D6590" w:rsidRPr="00A22DF4">
      <w:rPr>
        <w:rFonts w:ascii="Verdana" w:hAnsi="Verdana"/>
        <w:b/>
        <w:bCs/>
        <w:sz w:val="16"/>
        <w:szCs w:val="16"/>
        <w:lang w:val="en-US"/>
      </w:rPr>
      <w:fldChar w:fldCharType="end"/>
    </w:r>
    <w:r w:rsidR="001D6590" w:rsidRPr="00A22DF4">
      <w:rPr>
        <w:rFonts w:ascii="Verdana" w:hAnsi="Verdana"/>
        <w:b/>
        <w:bCs/>
        <w:sz w:val="16"/>
        <w:szCs w:val="16"/>
        <w:lang w:val="en-US"/>
      </w:rPr>
      <w:t xml:space="preserve"> of </w:t>
    </w:r>
    <w:r w:rsidR="001D6590" w:rsidRPr="00A22DF4">
      <w:rPr>
        <w:rFonts w:ascii="Verdana" w:hAnsi="Verdana"/>
        <w:b/>
        <w:bCs/>
        <w:sz w:val="16"/>
        <w:szCs w:val="16"/>
        <w:lang w:val="en-US"/>
      </w:rPr>
      <w:fldChar w:fldCharType="begin"/>
    </w:r>
    <w:r w:rsidR="001D6590" w:rsidRPr="00A22DF4">
      <w:rPr>
        <w:rFonts w:ascii="Verdana" w:hAnsi="Verdana"/>
        <w:b/>
        <w:bCs/>
        <w:sz w:val="16"/>
        <w:szCs w:val="16"/>
        <w:lang w:val="en-US"/>
      </w:rPr>
      <w:instrText xml:space="preserve"> NUMPAGES </w:instrText>
    </w:r>
    <w:r w:rsidR="001D6590" w:rsidRPr="00A22DF4">
      <w:rPr>
        <w:rFonts w:ascii="Verdana" w:hAnsi="Verdana"/>
        <w:b/>
        <w:bCs/>
        <w:sz w:val="16"/>
        <w:szCs w:val="16"/>
        <w:lang w:val="en-US"/>
      </w:rPr>
      <w:fldChar w:fldCharType="separate"/>
    </w:r>
    <w:r w:rsidR="007D61FF">
      <w:rPr>
        <w:rFonts w:ascii="Verdana" w:hAnsi="Verdana"/>
        <w:b/>
        <w:bCs/>
        <w:noProof/>
        <w:sz w:val="16"/>
        <w:szCs w:val="16"/>
        <w:lang w:val="en-US"/>
      </w:rPr>
      <w:t>7</w:t>
    </w:r>
    <w:r w:rsidR="001D6590" w:rsidRPr="00A22DF4">
      <w:rPr>
        <w:rFonts w:ascii="Verdana" w:hAnsi="Verdana"/>
        <w:b/>
        <w:bCs/>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84026" w14:textId="77777777" w:rsidR="00B61FA5" w:rsidRDefault="00B61FA5">
      <w:r>
        <w:separator/>
      </w:r>
    </w:p>
  </w:footnote>
  <w:footnote w:type="continuationSeparator" w:id="0">
    <w:p w14:paraId="6A82B653" w14:textId="77777777" w:rsidR="00B61FA5" w:rsidRDefault="00B6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58D5C" w14:textId="77777777" w:rsidR="001D6590" w:rsidRDefault="001D6590">
    <w:pPr>
      <w:pStyle w:val="Header"/>
      <w:jc w:val="center"/>
      <w:rPr>
        <w:rFonts w:ascii="Verdana" w:hAnsi="Verdana"/>
        <w:b/>
        <w:bCs/>
        <w:sz w:val="20"/>
        <w:lang w:val="en-IE"/>
      </w:rPr>
    </w:pPr>
    <w:r>
      <w:rPr>
        <w:rFonts w:ascii="Verdana" w:hAnsi="Verdana"/>
        <w:b/>
        <w:bCs/>
        <w:sz w:val="20"/>
        <w:lang w:val="en-IE"/>
      </w:rPr>
      <w:t>Irish Centre for Human Rights, National University of Ireland Galway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2CA4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915"/>
    <w:multiLevelType w:val="hybridMultilevel"/>
    <w:tmpl w:val="26CA5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22DB5"/>
    <w:multiLevelType w:val="multilevel"/>
    <w:tmpl w:val="5094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81508B"/>
    <w:multiLevelType w:val="hybridMultilevel"/>
    <w:tmpl w:val="553C4F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8386A32"/>
    <w:multiLevelType w:val="hybridMultilevel"/>
    <w:tmpl w:val="86B66AC4"/>
    <w:lvl w:ilvl="0" w:tplc="08090001">
      <w:start w:val="1"/>
      <w:numFmt w:val="bullet"/>
      <w:lvlText w:val=""/>
      <w:lvlJc w:val="left"/>
      <w:pPr>
        <w:ind w:left="676" w:hanging="360"/>
      </w:pPr>
      <w:rPr>
        <w:rFonts w:ascii="Symbol" w:hAnsi="Symbol" w:hint="default"/>
      </w:rPr>
    </w:lvl>
    <w:lvl w:ilvl="1" w:tplc="08090003" w:tentative="1">
      <w:start w:val="1"/>
      <w:numFmt w:val="bullet"/>
      <w:lvlText w:val="o"/>
      <w:lvlJc w:val="left"/>
      <w:pPr>
        <w:ind w:left="1396" w:hanging="360"/>
      </w:pPr>
      <w:rPr>
        <w:rFonts w:ascii="Courier New" w:hAnsi="Courier New" w:cs="Courier New" w:hint="default"/>
      </w:rPr>
    </w:lvl>
    <w:lvl w:ilvl="2" w:tplc="08090005" w:tentative="1">
      <w:start w:val="1"/>
      <w:numFmt w:val="bullet"/>
      <w:lvlText w:val=""/>
      <w:lvlJc w:val="left"/>
      <w:pPr>
        <w:ind w:left="2116" w:hanging="360"/>
      </w:pPr>
      <w:rPr>
        <w:rFonts w:ascii="Wingdings" w:hAnsi="Wingdings" w:hint="default"/>
      </w:rPr>
    </w:lvl>
    <w:lvl w:ilvl="3" w:tplc="08090001" w:tentative="1">
      <w:start w:val="1"/>
      <w:numFmt w:val="bullet"/>
      <w:lvlText w:val=""/>
      <w:lvlJc w:val="left"/>
      <w:pPr>
        <w:ind w:left="2836" w:hanging="360"/>
      </w:pPr>
      <w:rPr>
        <w:rFonts w:ascii="Symbol" w:hAnsi="Symbol" w:hint="default"/>
      </w:rPr>
    </w:lvl>
    <w:lvl w:ilvl="4" w:tplc="08090003" w:tentative="1">
      <w:start w:val="1"/>
      <w:numFmt w:val="bullet"/>
      <w:lvlText w:val="o"/>
      <w:lvlJc w:val="left"/>
      <w:pPr>
        <w:ind w:left="3556" w:hanging="360"/>
      </w:pPr>
      <w:rPr>
        <w:rFonts w:ascii="Courier New" w:hAnsi="Courier New" w:cs="Courier New" w:hint="default"/>
      </w:rPr>
    </w:lvl>
    <w:lvl w:ilvl="5" w:tplc="08090005" w:tentative="1">
      <w:start w:val="1"/>
      <w:numFmt w:val="bullet"/>
      <w:lvlText w:val=""/>
      <w:lvlJc w:val="left"/>
      <w:pPr>
        <w:ind w:left="4276" w:hanging="360"/>
      </w:pPr>
      <w:rPr>
        <w:rFonts w:ascii="Wingdings" w:hAnsi="Wingdings" w:hint="default"/>
      </w:rPr>
    </w:lvl>
    <w:lvl w:ilvl="6" w:tplc="08090001" w:tentative="1">
      <w:start w:val="1"/>
      <w:numFmt w:val="bullet"/>
      <w:lvlText w:val=""/>
      <w:lvlJc w:val="left"/>
      <w:pPr>
        <w:ind w:left="4996" w:hanging="360"/>
      </w:pPr>
      <w:rPr>
        <w:rFonts w:ascii="Symbol" w:hAnsi="Symbol" w:hint="default"/>
      </w:rPr>
    </w:lvl>
    <w:lvl w:ilvl="7" w:tplc="08090003" w:tentative="1">
      <w:start w:val="1"/>
      <w:numFmt w:val="bullet"/>
      <w:lvlText w:val="o"/>
      <w:lvlJc w:val="left"/>
      <w:pPr>
        <w:ind w:left="5716" w:hanging="360"/>
      </w:pPr>
      <w:rPr>
        <w:rFonts w:ascii="Courier New" w:hAnsi="Courier New" w:cs="Courier New" w:hint="default"/>
      </w:rPr>
    </w:lvl>
    <w:lvl w:ilvl="8" w:tplc="08090005" w:tentative="1">
      <w:start w:val="1"/>
      <w:numFmt w:val="bullet"/>
      <w:lvlText w:val=""/>
      <w:lvlJc w:val="left"/>
      <w:pPr>
        <w:ind w:left="6436" w:hanging="360"/>
      </w:pPr>
      <w:rPr>
        <w:rFonts w:ascii="Wingdings" w:hAnsi="Wingdings" w:hint="default"/>
      </w:rPr>
    </w:lvl>
  </w:abstractNum>
  <w:abstractNum w:abstractNumId="5" w15:restartNumberingAfterBreak="0">
    <w:nsid w:val="41517FCB"/>
    <w:multiLevelType w:val="hybridMultilevel"/>
    <w:tmpl w:val="0324B88A"/>
    <w:lvl w:ilvl="0" w:tplc="08090001">
      <w:start w:val="1"/>
      <w:numFmt w:val="bullet"/>
      <w:lvlText w:val=""/>
      <w:lvlJc w:val="left"/>
      <w:pPr>
        <w:ind w:left="676" w:hanging="360"/>
      </w:pPr>
      <w:rPr>
        <w:rFonts w:ascii="Symbol" w:hAnsi="Symbol" w:hint="default"/>
      </w:rPr>
    </w:lvl>
    <w:lvl w:ilvl="1" w:tplc="08090003" w:tentative="1">
      <w:start w:val="1"/>
      <w:numFmt w:val="bullet"/>
      <w:lvlText w:val="o"/>
      <w:lvlJc w:val="left"/>
      <w:pPr>
        <w:ind w:left="1396" w:hanging="360"/>
      </w:pPr>
      <w:rPr>
        <w:rFonts w:ascii="Courier New" w:hAnsi="Courier New" w:cs="Courier New" w:hint="default"/>
      </w:rPr>
    </w:lvl>
    <w:lvl w:ilvl="2" w:tplc="08090005" w:tentative="1">
      <w:start w:val="1"/>
      <w:numFmt w:val="bullet"/>
      <w:lvlText w:val=""/>
      <w:lvlJc w:val="left"/>
      <w:pPr>
        <w:ind w:left="2116" w:hanging="360"/>
      </w:pPr>
      <w:rPr>
        <w:rFonts w:ascii="Wingdings" w:hAnsi="Wingdings" w:hint="default"/>
      </w:rPr>
    </w:lvl>
    <w:lvl w:ilvl="3" w:tplc="08090001" w:tentative="1">
      <w:start w:val="1"/>
      <w:numFmt w:val="bullet"/>
      <w:lvlText w:val=""/>
      <w:lvlJc w:val="left"/>
      <w:pPr>
        <w:ind w:left="2836" w:hanging="360"/>
      </w:pPr>
      <w:rPr>
        <w:rFonts w:ascii="Symbol" w:hAnsi="Symbol" w:hint="default"/>
      </w:rPr>
    </w:lvl>
    <w:lvl w:ilvl="4" w:tplc="08090003" w:tentative="1">
      <w:start w:val="1"/>
      <w:numFmt w:val="bullet"/>
      <w:lvlText w:val="o"/>
      <w:lvlJc w:val="left"/>
      <w:pPr>
        <w:ind w:left="3556" w:hanging="360"/>
      </w:pPr>
      <w:rPr>
        <w:rFonts w:ascii="Courier New" w:hAnsi="Courier New" w:cs="Courier New" w:hint="default"/>
      </w:rPr>
    </w:lvl>
    <w:lvl w:ilvl="5" w:tplc="08090005" w:tentative="1">
      <w:start w:val="1"/>
      <w:numFmt w:val="bullet"/>
      <w:lvlText w:val=""/>
      <w:lvlJc w:val="left"/>
      <w:pPr>
        <w:ind w:left="4276" w:hanging="360"/>
      </w:pPr>
      <w:rPr>
        <w:rFonts w:ascii="Wingdings" w:hAnsi="Wingdings" w:hint="default"/>
      </w:rPr>
    </w:lvl>
    <w:lvl w:ilvl="6" w:tplc="08090001" w:tentative="1">
      <w:start w:val="1"/>
      <w:numFmt w:val="bullet"/>
      <w:lvlText w:val=""/>
      <w:lvlJc w:val="left"/>
      <w:pPr>
        <w:ind w:left="4996" w:hanging="360"/>
      </w:pPr>
      <w:rPr>
        <w:rFonts w:ascii="Symbol" w:hAnsi="Symbol" w:hint="default"/>
      </w:rPr>
    </w:lvl>
    <w:lvl w:ilvl="7" w:tplc="08090003" w:tentative="1">
      <w:start w:val="1"/>
      <w:numFmt w:val="bullet"/>
      <w:lvlText w:val="o"/>
      <w:lvlJc w:val="left"/>
      <w:pPr>
        <w:ind w:left="5716" w:hanging="360"/>
      </w:pPr>
      <w:rPr>
        <w:rFonts w:ascii="Courier New" w:hAnsi="Courier New" w:cs="Courier New" w:hint="default"/>
      </w:rPr>
    </w:lvl>
    <w:lvl w:ilvl="8" w:tplc="08090005" w:tentative="1">
      <w:start w:val="1"/>
      <w:numFmt w:val="bullet"/>
      <w:lvlText w:val=""/>
      <w:lvlJc w:val="left"/>
      <w:pPr>
        <w:ind w:left="6436" w:hanging="360"/>
      </w:pPr>
      <w:rPr>
        <w:rFonts w:ascii="Wingdings" w:hAnsi="Wingdings" w:hint="default"/>
      </w:rPr>
    </w:lvl>
  </w:abstractNum>
  <w:abstractNum w:abstractNumId="6" w15:restartNumberingAfterBreak="0">
    <w:nsid w:val="472E78CA"/>
    <w:multiLevelType w:val="hybridMultilevel"/>
    <w:tmpl w:val="82F0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5E4056"/>
    <w:multiLevelType w:val="hybridMultilevel"/>
    <w:tmpl w:val="DF4E2F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5206445"/>
    <w:multiLevelType w:val="hybridMultilevel"/>
    <w:tmpl w:val="E35602DC"/>
    <w:lvl w:ilvl="0" w:tplc="18090001">
      <w:start w:val="1"/>
      <w:numFmt w:val="bullet"/>
      <w:lvlText w:val=""/>
      <w:lvlJc w:val="left"/>
      <w:pPr>
        <w:ind w:left="736" w:hanging="360"/>
      </w:pPr>
      <w:rPr>
        <w:rFonts w:ascii="Symbol" w:hAnsi="Symbol" w:hint="default"/>
      </w:rPr>
    </w:lvl>
    <w:lvl w:ilvl="1" w:tplc="18090003" w:tentative="1">
      <w:start w:val="1"/>
      <w:numFmt w:val="bullet"/>
      <w:lvlText w:val="o"/>
      <w:lvlJc w:val="left"/>
      <w:pPr>
        <w:ind w:left="1456" w:hanging="360"/>
      </w:pPr>
      <w:rPr>
        <w:rFonts w:ascii="Courier New" w:hAnsi="Courier New" w:cs="Courier New" w:hint="default"/>
      </w:rPr>
    </w:lvl>
    <w:lvl w:ilvl="2" w:tplc="18090005" w:tentative="1">
      <w:start w:val="1"/>
      <w:numFmt w:val="bullet"/>
      <w:lvlText w:val=""/>
      <w:lvlJc w:val="left"/>
      <w:pPr>
        <w:ind w:left="2176" w:hanging="360"/>
      </w:pPr>
      <w:rPr>
        <w:rFonts w:ascii="Wingdings" w:hAnsi="Wingdings" w:hint="default"/>
      </w:rPr>
    </w:lvl>
    <w:lvl w:ilvl="3" w:tplc="18090001" w:tentative="1">
      <w:start w:val="1"/>
      <w:numFmt w:val="bullet"/>
      <w:lvlText w:val=""/>
      <w:lvlJc w:val="left"/>
      <w:pPr>
        <w:ind w:left="2896" w:hanging="360"/>
      </w:pPr>
      <w:rPr>
        <w:rFonts w:ascii="Symbol" w:hAnsi="Symbol" w:hint="default"/>
      </w:rPr>
    </w:lvl>
    <w:lvl w:ilvl="4" w:tplc="18090003" w:tentative="1">
      <w:start w:val="1"/>
      <w:numFmt w:val="bullet"/>
      <w:lvlText w:val="o"/>
      <w:lvlJc w:val="left"/>
      <w:pPr>
        <w:ind w:left="3616" w:hanging="360"/>
      </w:pPr>
      <w:rPr>
        <w:rFonts w:ascii="Courier New" w:hAnsi="Courier New" w:cs="Courier New" w:hint="default"/>
      </w:rPr>
    </w:lvl>
    <w:lvl w:ilvl="5" w:tplc="18090005" w:tentative="1">
      <w:start w:val="1"/>
      <w:numFmt w:val="bullet"/>
      <w:lvlText w:val=""/>
      <w:lvlJc w:val="left"/>
      <w:pPr>
        <w:ind w:left="4336" w:hanging="360"/>
      </w:pPr>
      <w:rPr>
        <w:rFonts w:ascii="Wingdings" w:hAnsi="Wingdings" w:hint="default"/>
      </w:rPr>
    </w:lvl>
    <w:lvl w:ilvl="6" w:tplc="18090001" w:tentative="1">
      <w:start w:val="1"/>
      <w:numFmt w:val="bullet"/>
      <w:lvlText w:val=""/>
      <w:lvlJc w:val="left"/>
      <w:pPr>
        <w:ind w:left="5056" w:hanging="360"/>
      </w:pPr>
      <w:rPr>
        <w:rFonts w:ascii="Symbol" w:hAnsi="Symbol" w:hint="default"/>
      </w:rPr>
    </w:lvl>
    <w:lvl w:ilvl="7" w:tplc="18090003" w:tentative="1">
      <w:start w:val="1"/>
      <w:numFmt w:val="bullet"/>
      <w:lvlText w:val="o"/>
      <w:lvlJc w:val="left"/>
      <w:pPr>
        <w:ind w:left="5776" w:hanging="360"/>
      </w:pPr>
      <w:rPr>
        <w:rFonts w:ascii="Courier New" w:hAnsi="Courier New" w:cs="Courier New" w:hint="default"/>
      </w:rPr>
    </w:lvl>
    <w:lvl w:ilvl="8" w:tplc="18090005" w:tentative="1">
      <w:start w:val="1"/>
      <w:numFmt w:val="bullet"/>
      <w:lvlText w:val=""/>
      <w:lvlJc w:val="left"/>
      <w:pPr>
        <w:ind w:left="6496" w:hanging="360"/>
      </w:pPr>
      <w:rPr>
        <w:rFonts w:ascii="Wingdings" w:hAnsi="Wingdings" w:hint="default"/>
      </w:rPr>
    </w:lvl>
  </w:abstractNum>
  <w:abstractNum w:abstractNumId="9" w15:restartNumberingAfterBreak="0">
    <w:nsid w:val="560005FD"/>
    <w:multiLevelType w:val="hybridMultilevel"/>
    <w:tmpl w:val="D696D2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F276A3"/>
    <w:multiLevelType w:val="hybridMultilevel"/>
    <w:tmpl w:val="5E6002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17101108">
    <w:abstractNumId w:val="9"/>
  </w:num>
  <w:num w:numId="2" w16cid:durableId="520973490">
    <w:abstractNumId w:val="2"/>
  </w:num>
  <w:num w:numId="3" w16cid:durableId="1130635655">
    <w:abstractNumId w:val="0"/>
  </w:num>
  <w:num w:numId="4" w16cid:durableId="1707827599">
    <w:abstractNumId w:val="5"/>
  </w:num>
  <w:num w:numId="5" w16cid:durableId="4675280">
    <w:abstractNumId w:val="4"/>
  </w:num>
  <w:num w:numId="6" w16cid:durableId="904529774">
    <w:abstractNumId w:val="1"/>
  </w:num>
  <w:num w:numId="7" w16cid:durableId="777020851">
    <w:abstractNumId w:val="6"/>
  </w:num>
  <w:num w:numId="8" w16cid:durableId="1658729307">
    <w:abstractNumId w:val="3"/>
  </w:num>
  <w:num w:numId="9" w16cid:durableId="1945259726">
    <w:abstractNumId w:val="7"/>
  </w:num>
  <w:num w:numId="10" w16cid:durableId="1962227172">
    <w:abstractNumId w:val="8"/>
  </w:num>
  <w:num w:numId="11" w16cid:durableId="466316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1F84"/>
    <w:rsid w:val="00002C25"/>
    <w:rsid w:val="00002C52"/>
    <w:rsid w:val="000065A9"/>
    <w:rsid w:val="000071A8"/>
    <w:rsid w:val="00010993"/>
    <w:rsid w:val="00022457"/>
    <w:rsid w:val="00024895"/>
    <w:rsid w:val="00040F89"/>
    <w:rsid w:val="0005443C"/>
    <w:rsid w:val="00076832"/>
    <w:rsid w:val="000A03E3"/>
    <w:rsid w:val="000A535C"/>
    <w:rsid w:val="000B528E"/>
    <w:rsid w:val="000C24B9"/>
    <w:rsid w:val="000C7472"/>
    <w:rsid w:val="000D58C7"/>
    <w:rsid w:val="000D794B"/>
    <w:rsid w:val="000E2FC0"/>
    <w:rsid w:val="0010363A"/>
    <w:rsid w:val="00104005"/>
    <w:rsid w:val="00111B6F"/>
    <w:rsid w:val="0011543B"/>
    <w:rsid w:val="00115858"/>
    <w:rsid w:val="00120CAE"/>
    <w:rsid w:val="0012172D"/>
    <w:rsid w:val="00126A98"/>
    <w:rsid w:val="00134030"/>
    <w:rsid w:val="00147B5F"/>
    <w:rsid w:val="00160FD6"/>
    <w:rsid w:val="001656B4"/>
    <w:rsid w:val="00177943"/>
    <w:rsid w:val="00180AE1"/>
    <w:rsid w:val="001825A9"/>
    <w:rsid w:val="00190C29"/>
    <w:rsid w:val="0019185B"/>
    <w:rsid w:val="001A16B8"/>
    <w:rsid w:val="001B1423"/>
    <w:rsid w:val="001D6590"/>
    <w:rsid w:val="001D7573"/>
    <w:rsid w:val="001D7920"/>
    <w:rsid w:val="001E12E4"/>
    <w:rsid w:val="001E58F2"/>
    <w:rsid w:val="001E6EFA"/>
    <w:rsid w:val="001F1C6C"/>
    <w:rsid w:val="001F6B3F"/>
    <w:rsid w:val="001F7188"/>
    <w:rsid w:val="00210622"/>
    <w:rsid w:val="00211791"/>
    <w:rsid w:val="00211FBB"/>
    <w:rsid w:val="00213E1F"/>
    <w:rsid w:val="00226230"/>
    <w:rsid w:val="002309C6"/>
    <w:rsid w:val="00235FF3"/>
    <w:rsid w:val="00247015"/>
    <w:rsid w:val="00265A21"/>
    <w:rsid w:val="00266F4B"/>
    <w:rsid w:val="00267FA7"/>
    <w:rsid w:val="00272E9D"/>
    <w:rsid w:val="002A4EE1"/>
    <w:rsid w:val="002A7078"/>
    <w:rsid w:val="002B186E"/>
    <w:rsid w:val="002B4EE5"/>
    <w:rsid w:val="002C5AFF"/>
    <w:rsid w:val="00301929"/>
    <w:rsid w:val="00301C39"/>
    <w:rsid w:val="00313D50"/>
    <w:rsid w:val="003200E7"/>
    <w:rsid w:val="00334BCA"/>
    <w:rsid w:val="00334DC8"/>
    <w:rsid w:val="003422EE"/>
    <w:rsid w:val="00343C02"/>
    <w:rsid w:val="003605CB"/>
    <w:rsid w:val="003765E1"/>
    <w:rsid w:val="003807DD"/>
    <w:rsid w:val="00381AD7"/>
    <w:rsid w:val="0038396E"/>
    <w:rsid w:val="0038414B"/>
    <w:rsid w:val="0039743A"/>
    <w:rsid w:val="003A068B"/>
    <w:rsid w:val="003A2542"/>
    <w:rsid w:val="003A2D61"/>
    <w:rsid w:val="003C5E5E"/>
    <w:rsid w:val="003C7DAF"/>
    <w:rsid w:val="003D3FE9"/>
    <w:rsid w:val="003F2005"/>
    <w:rsid w:val="003F58AC"/>
    <w:rsid w:val="003F634B"/>
    <w:rsid w:val="003F6950"/>
    <w:rsid w:val="00424884"/>
    <w:rsid w:val="004351C7"/>
    <w:rsid w:val="00447414"/>
    <w:rsid w:val="00475E13"/>
    <w:rsid w:val="00490AED"/>
    <w:rsid w:val="00491491"/>
    <w:rsid w:val="00491910"/>
    <w:rsid w:val="00491F05"/>
    <w:rsid w:val="004B0766"/>
    <w:rsid w:val="004B7EA0"/>
    <w:rsid w:val="004C4B5E"/>
    <w:rsid w:val="004C4F17"/>
    <w:rsid w:val="004C6E97"/>
    <w:rsid w:val="004E2237"/>
    <w:rsid w:val="004E67A2"/>
    <w:rsid w:val="004E78EC"/>
    <w:rsid w:val="00506C43"/>
    <w:rsid w:val="0051707D"/>
    <w:rsid w:val="005278F1"/>
    <w:rsid w:val="00532E80"/>
    <w:rsid w:val="005364D5"/>
    <w:rsid w:val="00537B33"/>
    <w:rsid w:val="005523E3"/>
    <w:rsid w:val="0055683A"/>
    <w:rsid w:val="00573BF1"/>
    <w:rsid w:val="00574A09"/>
    <w:rsid w:val="00583D26"/>
    <w:rsid w:val="00587F6C"/>
    <w:rsid w:val="00592450"/>
    <w:rsid w:val="005A2605"/>
    <w:rsid w:val="005A2ACC"/>
    <w:rsid w:val="005A5DC7"/>
    <w:rsid w:val="005C1AD3"/>
    <w:rsid w:val="005C6760"/>
    <w:rsid w:val="005D11E4"/>
    <w:rsid w:val="005D2472"/>
    <w:rsid w:val="005E23F7"/>
    <w:rsid w:val="005E7102"/>
    <w:rsid w:val="006031AB"/>
    <w:rsid w:val="006155AB"/>
    <w:rsid w:val="00626EFF"/>
    <w:rsid w:val="00640339"/>
    <w:rsid w:val="00670179"/>
    <w:rsid w:val="00681BF0"/>
    <w:rsid w:val="00683715"/>
    <w:rsid w:val="006922D1"/>
    <w:rsid w:val="00695537"/>
    <w:rsid w:val="006A4286"/>
    <w:rsid w:val="006B0BC1"/>
    <w:rsid w:val="006C374B"/>
    <w:rsid w:val="006D141F"/>
    <w:rsid w:val="006D43DF"/>
    <w:rsid w:val="006E017D"/>
    <w:rsid w:val="006E5240"/>
    <w:rsid w:val="006F2BBD"/>
    <w:rsid w:val="00701885"/>
    <w:rsid w:val="00705D7D"/>
    <w:rsid w:val="007278C2"/>
    <w:rsid w:val="00731AFB"/>
    <w:rsid w:val="007328EF"/>
    <w:rsid w:val="00735B18"/>
    <w:rsid w:val="007370C7"/>
    <w:rsid w:val="007429A6"/>
    <w:rsid w:val="00744625"/>
    <w:rsid w:val="00745136"/>
    <w:rsid w:val="007467CC"/>
    <w:rsid w:val="00747B1F"/>
    <w:rsid w:val="0075114C"/>
    <w:rsid w:val="00755A16"/>
    <w:rsid w:val="00755E42"/>
    <w:rsid w:val="00762553"/>
    <w:rsid w:val="007629D3"/>
    <w:rsid w:val="007700C3"/>
    <w:rsid w:val="00776544"/>
    <w:rsid w:val="00780547"/>
    <w:rsid w:val="007838B7"/>
    <w:rsid w:val="007923C1"/>
    <w:rsid w:val="007964E9"/>
    <w:rsid w:val="00797509"/>
    <w:rsid w:val="007A141B"/>
    <w:rsid w:val="007A1BEE"/>
    <w:rsid w:val="007D61FF"/>
    <w:rsid w:val="007E14CD"/>
    <w:rsid w:val="007E7577"/>
    <w:rsid w:val="00807E9B"/>
    <w:rsid w:val="00812498"/>
    <w:rsid w:val="008432CE"/>
    <w:rsid w:val="00856EAB"/>
    <w:rsid w:val="0086002F"/>
    <w:rsid w:val="00860376"/>
    <w:rsid w:val="00864182"/>
    <w:rsid w:val="008763EA"/>
    <w:rsid w:val="0088631C"/>
    <w:rsid w:val="00896BCA"/>
    <w:rsid w:val="008A2DD3"/>
    <w:rsid w:val="008A756B"/>
    <w:rsid w:val="008C00B9"/>
    <w:rsid w:val="008C21B7"/>
    <w:rsid w:val="008D2034"/>
    <w:rsid w:val="008E6DC8"/>
    <w:rsid w:val="008F197C"/>
    <w:rsid w:val="009110D3"/>
    <w:rsid w:val="00922823"/>
    <w:rsid w:val="00926575"/>
    <w:rsid w:val="00930F81"/>
    <w:rsid w:val="009313AA"/>
    <w:rsid w:val="0094092D"/>
    <w:rsid w:val="00947AEC"/>
    <w:rsid w:val="00950E60"/>
    <w:rsid w:val="00954E83"/>
    <w:rsid w:val="009665A7"/>
    <w:rsid w:val="009676C1"/>
    <w:rsid w:val="009705D3"/>
    <w:rsid w:val="009758DB"/>
    <w:rsid w:val="00986C1A"/>
    <w:rsid w:val="0098775B"/>
    <w:rsid w:val="009938AD"/>
    <w:rsid w:val="009A011B"/>
    <w:rsid w:val="009A41D3"/>
    <w:rsid w:val="009A5781"/>
    <w:rsid w:val="009A7DD4"/>
    <w:rsid w:val="009B1F84"/>
    <w:rsid w:val="009B61B8"/>
    <w:rsid w:val="009C2981"/>
    <w:rsid w:val="009E2E22"/>
    <w:rsid w:val="009E3763"/>
    <w:rsid w:val="009F1447"/>
    <w:rsid w:val="009F4344"/>
    <w:rsid w:val="00A04CAA"/>
    <w:rsid w:val="00A05A88"/>
    <w:rsid w:val="00A12A91"/>
    <w:rsid w:val="00A15114"/>
    <w:rsid w:val="00A17139"/>
    <w:rsid w:val="00A34E3D"/>
    <w:rsid w:val="00A35AE4"/>
    <w:rsid w:val="00A41B3A"/>
    <w:rsid w:val="00A43B91"/>
    <w:rsid w:val="00A9481A"/>
    <w:rsid w:val="00A94EB2"/>
    <w:rsid w:val="00A96127"/>
    <w:rsid w:val="00AA6E76"/>
    <w:rsid w:val="00AC2752"/>
    <w:rsid w:val="00AE14BC"/>
    <w:rsid w:val="00AF403C"/>
    <w:rsid w:val="00B07F42"/>
    <w:rsid w:val="00B15473"/>
    <w:rsid w:val="00B31E72"/>
    <w:rsid w:val="00B335AE"/>
    <w:rsid w:val="00B34DF8"/>
    <w:rsid w:val="00B4079F"/>
    <w:rsid w:val="00B53599"/>
    <w:rsid w:val="00B53D78"/>
    <w:rsid w:val="00B54CD2"/>
    <w:rsid w:val="00B60104"/>
    <w:rsid w:val="00B61FA5"/>
    <w:rsid w:val="00B75534"/>
    <w:rsid w:val="00B85DFD"/>
    <w:rsid w:val="00B87377"/>
    <w:rsid w:val="00B935B3"/>
    <w:rsid w:val="00B9399C"/>
    <w:rsid w:val="00BA413E"/>
    <w:rsid w:val="00BA5FEF"/>
    <w:rsid w:val="00BB4DBE"/>
    <w:rsid w:val="00BC1971"/>
    <w:rsid w:val="00BC23D9"/>
    <w:rsid w:val="00BC6FBD"/>
    <w:rsid w:val="00BD106A"/>
    <w:rsid w:val="00BD3CB0"/>
    <w:rsid w:val="00BE55A0"/>
    <w:rsid w:val="00BE7427"/>
    <w:rsid w:val="00C120C2"/>
    <w:rsid w:val="00C13A0B"/>
    <w:rsid w:val="00C25322"/>
    <w:rsid w:val="00C30BC8"/>
    <w:rsid w:val="00C316A1"/>
    <w:rsid w:val="00C61EC0"/>
    <w:rsid w:val="00C76E5C"/>
    <w:rsid w:val="00C80F44"/>
    <w:rsid w:val="00C83E93"/>
    <w:rsid w:val="00C940F3"/>
    <w:rsid w:val="00CB23E2"/>
    <w:rsid w:val="00CC03AD"/>
    <w:rsid w:val="00CC0477"/>
    <w:rsid w:val="00CC7148"/>
    <w:rsid w:val="00CD099A"/>
    <w:rsid w:val="00CD4F98"/>
    <w:rsid w:val="00CD6B7D"/>
    <w:rsid w:val="00CE22D9"/>
    <w:rsid w:val="00CE36C5"/>
    <w:rsid w:val="00D222A9"/>
    <w:rsid w:val="00D26942"/>
    <w:rsid w:val="00D35532"/>
    <w:rsid w:val="00D37DE4"/>
    <w:rsid w:val="00D61B4D"/>
    <w:rsid w:val="00D73F05"/>
    <w:rsid w:val="00D90C86"/>
    <w:rsid w:val="00D9705D"/>
    <w:rsid w:val="00DA7C0E"/>
    <w:rsid w:val="00DC7BBC"/>
    <w:rsid w:val="00DD2F02"/>
    <w:rsid w:val="00DD5538"/>
    <w:rsid w:val="00DE1767"/>
    <w:rsid w:val="00DE50E4"/>
    <w:rsid w:val="00E00FBF"/>
    <w:rsid w:val="00E166A5"/>
    <w:rsid w:val="00E21391"/>
    <w:rsid w:val="00E25A5C"/>
    <w:rsid w:val="00E3411E"/>
    <w:rsid w:val="00E42FC6"/>
    <w:rsid w:val="00E44018"/>
    <w:rsid w:val="00E50642"/>
    <w:rsid w:val="00E57D13"/>
    <w:rsid w:val="00E635F6"/>
    <w:rsid w:val="00E74B34"/>
    <w:rsid w:val="00E91251"/>
    <w:rsid w:val="00E92CCD"/>
    <w:rsid w:val="00EA351A"/>
    <w:rsid w:val="00EB066D"/>
    <w:rsid w:val="00EC3307"/>
    <w:rsid w:val="00EC5701"/>
    <w:rsid w:val="00ED7AB5"/>
    <w:rsid w:val="00EE1021"/>
    <w:rsid w:val="00EF51B9"/>
    <w:rsid w:val="00EF5F81"/>
    <w:rsid w:val="00F07A61"/>
    <w:rsid w:val="00F13137"/>
    <w:rsid w:val="00F268DB"/>
    <w:rsid w:val="00F35C60"/>
    <w:rsid w:val="00F5685B"/>
    <w:rsid w:val="00F63331"/>
    <w:rsid w:val="00F63CD0"/>
    <w:rsid w:val="00F717BB"/>
    <w:rsid w:val="00F969E3"/>
    <w:rsid w:val="00FA0E4E"/>
    <w:rsid w:val="00FD6E1D"/>
    <w:rsid w:val="00FD7A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EBABC"/>
  <w15:chartTrackingRefBased/>
  <w15:docId w15:val="{1BB34377-86FA-45DB-82E8-7EC098ED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376"/>
    <w:rPr>
      <w:sz w:val="24"/>
      <w:szCs w:val="24"/>
      <w:lang w:val="en-GB" w:eastAsia="en-US"/>
    </w:rPr>
  </w:style>
  <w:style w:type="paragraph" w:styleId="Heading2">
    <w:name w:val="heading 2"/>
    <w:basedOn w:val="Normal"/>
    <w:next w:val="Normal"/>
    <w:qFormat/>
    <w:rsid w:val="009B1F84"/>
    <w:pPr>
      <w:keepNext/>
      <w:jc w:val="center"/>
      <w:outlineLvl w:val="1"/>
    </w:pPr>
    <w:rPr>
      <w:b/>
      <w:bCs/>
      <w:lang w:val="en-US"/>
    </w:rPr>
  </w:style>
  <w:style w:type="paragraph" w:styleId="Heading3">
    <w:name w:val="heading 3"/>
    <w:basedOn w:val="Normal"/>
    <w:next w:val="Normal"/>
    <w:link w:val="Heading3Char"/>
    <w:semiHidden/>
    <w:unhideWhenUsed/>
    <w:qFormat/>
    <w:rsid w:val="00B15473"/>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F84"/>
    <w:pPr>
      <w:tabs>
        <w:tab w:val="center" w:pos="4153"/>
        <w:tab w:val="right" w:pos="8306"/>
      </w:tabs>
    </w:pPr>
  </w:style>
  <w:style w:type="paragraph" w:styleId="Footer">
    <w:name w:val="footer"/>
    <w:basedOn w:val="Normal"/>
    <w:rsid w:val="009B1F84"/>
    <w:pPr>
      <w:tabs>
        <w:tab w:val="center" w:pos="4153"/>
        <w:tab w:val="right" w:pos="8306"/>
      </w:tabs>
    </w:pPr>
  </w:style>
  <w:style w:type="paragraph" w:styleId="NormalWeb">
    <w:name w:val="Normal (Web)"/>
    <w:basedOn w:val="Normal"/>
    <w:rsid w:val="009B1F84"/>
    <w:pPr>
      <w:spacing w:before="100" w:beforeAutospacing="1" w:after="100" w:afterAutospacing="1"/>
    </w:pPr>
  </w:style>
  <w:style w:type="character" w:styleId="Hyperlink">
    <w:name w:val="Hyperlink"/>
    <w:rsid w:val="009B1F84"/>
    <w:rPr>
      <w:color w:val="0000FF"/>
      <w:u w:val="single"/>
    </w:rPr>
  </w:style>
  <w:style w:type="paragraph" w:styleId="Title">
    <w:name w:val="Title"/>
    <w:basedOn w:val="Normal"/>
    <w:qFormat/>
    <w:rsid w:val="009B1F84"/>
    <w:pPr>
      <w:jc w:val="center"/>
      <w:outlineLvl w:val="0"/>
    </w:pPr>
    <w:rPr>
      <w:rFonts w:ascii="Arial" w:hAnsi="Arial" w:cs="Arial"/>
      <w:b/>
      <w:bCs/>
      <w:sz w:val="48"/>
    </w:rPr>
  </w:style>
  <w:style w:type="paragraph" w:styleId="PlainText">
    <w:name w:val="Plain Text"/>
    <w:basedOn w:val="Normal"/>
    <w:rsid w:val="009B1F84"/>
    <w:rPr>
      <w:rFonts w:ascii="Courier New" w:hAnsi="Courier New" w:cs="Courier New"/>
      <w:sz w:val="20"/>
      <w:szCs w:val="20"/>
      <w:lang w:val="en-US"/>
    </w:rPr>
  </w:style>
  <w:style w:type="paragraph" w:styleId="EndnoteText">
    <w:name w:val="endnote text"/>
    <w:basedOn w:val="Normal"/>
    <w:semiHidden/>
    <w:rsid w:val="009B1F84"/>
    <w:rPr>
      <w:sz w:val="20"/>
      <w:szCs w:val="20"/>
      <w:lang w:val="en-US"/>
    </w:rPr>
  </w:style>
  <w:style w:type="character" w:styleId="Strong">
    <w:name w:val="Strong"/>
    <w:qFormat/>
    <w:rsid w:val="009B1F84"/>
    <w:rPr>
      <w:b/>
      <w:bCs/>
    </w:rPr>
  </w:style>
  <w:style w:type="character" w:customStyle="1" w:styleId="ptbrand4">
    <w:name w:val="ptbrand4"/>
    <w:basedOn w:val="DefaultParagraphFont"/>
    <w:rsid w:val="009B1F84"/>
  </w:style>
  <w:style w:type="character" w:styleId="Emphasis">
    <w:name w:val="Emphasis"/>
    <w:qFormat/>
    <w:rsid w:val="00D35532"/>
    <w:rPr>
      <w:i/>
      <w:iCs/>
    </w:rPr>
  </w:style>
  <w:style w:type="paragraph" w:styleId="BalloonText">
    <w:name w:val="Balloon Text"/>
    <w:basedOn w:val="Normal"/>
    <w:link w:val="BalloonTextChar"/>
    <w:rsid w:val="00DD2F02"/>
    <w:rPr>
      <w:rFonts w:ascii="Tahoma" w:hAnsi="Tahoma" w:cs="Tahoma"/>
      <w:sz w:val="16"/>
      <w:szCs w:val="16"/>
    </w:rPr>
  </w:style>
  <w:style w:type="character" w:customStyle="1" w:styleId="BalloonTextChar">
    <w:name w:val="Balloon Text Char"/>
    <w:link w:val="BalloonText"/>
    <w:rsid w:val="00DD2F02"/>
    <w:rPr>
      <w:rFonts w:ascii="Tahoma" w:hAnsi="Tahoma" w:cs="Tahoma"/>
      <w:sz w:val="16"/>
      <w:szCs w:val="16"/>
      <w:lang w:val="en-GB" w:eastAsia="en-US"/>
    </w:rPr>
  </w:style>
  <w:style w:type="character" w:customStyle="1" w:styleId="citationarticleauthors">
    <w:name w:val="citationarticleauthors"/>
    <w:rsid w:val="00CD4F98"/>
  </w:style>
  <w:style w:type="character" w:customStyle="1" w:styleId="citationarticleyear">
    <w:name w:val="citationarticleyear"/>
    <w:rsid w:val="00CD4F98"/>
  </w:style>
  <w:style w:type="character" w:customStyle="1" w:styleId="citationarticletitle">
    <w:name w:val="citationarticletitle"/>
    <w:rsid w:val="00CD4F98"/>
  </w:style>
  <w:style w:type="character" w:customStyle="1" w:styleId="citationjournaltitle">
    <w:name w:val="citationjournaltitle"/>
    <w:rsid w:val="00CD4F98"/>
  </w:style>
  <w:style w:type="character" w:customStyle="1" w:styleId="citationjournalvolumeandpart">
    <w:name w:val="citationjournalvolumeandpart"/>
    <w:rsid w:val="00CD4F98"/>
  </w:style>
  <w:style w:type="character" w:customStyle="1" w:styleId="citationjournalpages">
    <w:name w:val="citationjournalpages"/>
    <w:rsid w:val="00CD4F98"/>
  </w:style>
  <w:style w:type="character" w:styleId="FollowedHyperlink">
    <w:name w:val="FollowedHyperlink"/>
    <w:rsid w:val="00EC5701"/>
    <w:rPr>
      <w:color w:val="800080"/>
      <w:u w:val="single"/>
    </w:rPr>
  </w:style>
  <w:style w:type="character" w:styleId="UnresolvedMention">
    <w:name w:val="Unresolved Mention"/>
    <w:uiPriority w:val="99"/>
    <w:semiHidden/>
    <w:unhideWhenUsed/>
    <w:rsid w:val="00695537"/>
    <w:rPr>
      <w:color w:val="605E5C"/>
      <w:shd w:val="clear" w:color="auto" w:fill="E1DFDD"/>
    </w:rPr>
  </w:style>
  <w:style w:type="paragraph" w:styleId="Revision">
    <w:name w:val="Revision"/>
    <w:hidden/>
    <w:uiPriority w:val="99"/>
    <w:semiHidden/>
    <w:rsid w:val="00177943"/>
    <w:rPr>
      <w:sz w:val="24"/>
      <w:szCs w:val="24"/>
      <w:lang w:val="en-GB" w:eastAsia="en-US"/>
    </w:rPr>
  </w:style>
  <w:style w:type="character" w:customStyle="1" w:styleId="Heading3Char">
    <w:name w:val="Heading 3 Char"/>
    <w:link w:val="Heading3"/>
    <w:semiHidden/>
    <w:rsid w:val="00B15473"/>
    <w:rPr>
      <w:rFonts w:ascii="Calibri Light" w:eastAsia="Times New Roman" w:hAnsi="Calibri Light" w:cs="Times New Roman"/>
      <w:b/>
      <w:b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1118">
      <w:bodyDiv w:val="1"/>
      <w:marLeft w:val="0"/>
      <w:marRight w:val="0"/>
      <w:marTop w:val="0"/>
      <w:marBottom w:val="0"/>
      <w:divBdr>
        <w:top w:val="none" w:sz="0" w:space="0" w:color="auto"/>
        <w:left w:val="none" w:sz="0" w:space="0" w:color="auto"/>
        <w:bottom w:val="none" w:sz="0" w:space="0" w:color="auto"/>
        <w:right w:val="none" w:sz="0" w:space="0" w:color="auto"/>
      </w:divBdr>
      <w:divsChild>
        <w:div w:id="1601336682">
          <w:marLeft w:val="0"/>
          <w:marRight w:val="0"/>
          <w:marTop w:val="0"/>
          <w:marBottom w:val="0"/>
          <w:divBdr>
            <w:top w:val="none" w:sz="0" w:space="0" w:color="auto"/>
            <w:left w:val="none" w:sz="0" w:space="0" w:color="auto"/>
            <w:bottom w:val="none" w:sz="0" w:space="0" w:color="auto"/>
            <w:right w:val="none" w:sz="0" w:space="0" w:color="auto"/>
          </w:divBdr>
          <w:divsChild>
            <w:div w:id="914127943">
              <w:marLeft w:val="0"/>
              <w:marRight w:val="0"/>
              <w:marTop w:val="0"/>
              <w:marBottom w:val="0"/>
              <w:divBdr>
                <w:top w:val="none" w:sz="0" w:space="0" w:color="auto"/>
                <w:left w:val="none" w:sz="0" w:space="0" w:color="auto"/>
                <w:bottom w:val="none" w:sz="0" w:space="0" w:color="auto"/>
                <w:right w:val="none" w:sz="0" w:space="0" w:color="auto"/>
              </w:divBdr>
              <w:divsChild>
                <w:div w:id="1010988061">
                  <w:marLeft w:val="0"/>
                  <w:marRight w:val="0"/>
                  <w:marTop w:val="0"/>
                  <w:marBottom w:val="0"/>
                  <w:divBdr>
                    <w:top w:val="none" w:sz="0" w:space="0" w:color="auto"/>
                    <w:left w:val="none" w:sz="0" w:space="0" w:color="auto"/>
                    <w:bottom w:val="none" w:sz="0" w:space="0" w:color="auto"/>
                    <w:right w:val="none" w:sz="0" w:space="0" w:color="auto"/>
                  </w:divBdr>
                  <w:divsChild>
                    <w:div w:id="856970784">
                      <w:marLeft w:val="0"/>
                      <w:marRight w:val="0"/>
                      <w:marTop w:val="0"/>
                      <w:marBottom w:val="0"/>
                      <w:divBdr>
                        <w:top w:val="none" w:sz="0" w:space="0" w:color="auto"/>
                        <w:left w:val="none" w:sz="0" w:space="0" w:color="auto"/>
                        <w:bottom w:val="none" w:sz="0" w:space="0" w:color="auto"/>
                        <w:right w:val="none" w:sz="0" w:space="0" w:color="auto"/>
                      </w:divBdr>
                      <w:divsChild>
                        <w:div w:id="1930596">
                          <w:marLeft w:val="0"/>
                          <w:marRight w:val="0"/>
                          <w:marTop w:val="0"/>
                          <w:marBottom w:val="0"/>
                          <w:divBdr>
                            <w:top w:val="none" w:sz="0" w:space="0" w:color="auto"/>
                            <w:left w:val="none" w:sz="0" w:space="0" w:color="auto"/>
                            <w:bottom w:val="none" w:sz="0" w:space="0" w:color="auto"/>
                            <w:right w:val="none" w:sz="0" w:space="0" w:color="auto"/>
                          </w:divBdr>
                          <w:divsChild>
                            <w:div w:id="2109154336">
                              <w:marLeft w:val="0"/>
                              <w:marRight w:val="0"/>
                              <w:marTop w:val="0"/>
                              <w:marBottom w:val="0"/>
                              <w:divBdr>
                                <w:top w:val="none" w:sz="0" w:space="0" w:color="auto"/>
                                <w:left w:val="none" w:sz="0" w:space="0" w:color="auto"/>
                                <w:bottom w:val="none" w:sz="0" w:space="0" w:color="auto"/>
                                <w:right w:val="none" w:sz="0" w:space="0" w:color="auto"/>
                              </w:divBdr>
                              <w:divsChild>
                                <w:div w:id="1784812151">
                                  <w:marLeft w:val="0"/>
                                  <w:marRight w:val="0"/>
                                  <w:marTop w:val="15"/>
                                  <w:marBottom w:val="0"/>
                                  <w:divBdr>
                                    <w:top w:val="none" w:sz="0" w:space="0" w:color="auto"/>
                                    <w:left w:val="none" w:sz="0" w:space="0" w:color="auto"/>
                                    <w:bottom w:val="none" w:sz="0" w:space="0" w:color="auto"/>
                                    <w:right w:val="none" w:sz="0" w:space="0" w:color="auto"/>
                                  </w:divBdr>
                                  <w:divsChild>
                                    <w:div w:id="383992429">
                                      <w:marLeft w:val="0"/>
                                      <w:marRight w:val="0"/>
                                      <w:marTop w:val="0"/>
                                      <w:marBottom w:val="0"/>
                                      <w:divBdr>
                                        <w:top w:val="none" w:sz="0" w:space="0" w:color="auto"/>
                                        <w:left w:val="none" w:sz="0" w:space="0" w:color="auto"/>
                                        <w:bottom w:val="none" w:sz="0" w:space="0" w:color="auto"/>
                                        <w:right w:val="none" w:sz="0" w:space="0" w:color="auto"/>
                                      </w:divBdr>
                                      <w:divsChild>
                                        <w:div w:id="1953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542585">
      <w:bodyDiv w:val="1"/>
      <w:marLeft w:val="0"/>
      <w:marRight w:val="0"/>
      <w:marTop w:val="0"/>
      <w:marBottom w:val="0"/>
      <w:divBdr>
        <w:top w:val="none" w:sz="0" w:space="0" w:color="auto"/>
        <w:left w:val="none" w:sz="0" w:space="0" w:color="auto"/>
        <w:bottom w:val="none" w:sz="0" w:space="0" w:color="auto"/>
        <w:right w:val="none" w:sz="0" w:space="0" w:color="auto"/>
      </w:divBdr>
    </w:div>
    <w:div w:id="861674904">
      <w:bodyDiv w:val="1"/>
      <w:marLeft w:val="0"/>
      <w:marRight w:val="0"/>
      <w:marTop w:val="0"/>
      <w:marBottom w:val="0"/>
      <w:divBdr>
        <w:top w:val="none" w:sz="0" w:space="0" w:color="auto"/>
        <w:left w:val="none" w:sz="0" w:space="0" w:color="auto"/>
        <w:bottom w:val="none" w:sz="0" w:space="0" w:color="auto"/>
        <w:right w:val="none" w:sz="0" w:space="0" w:color="auto"/>
      </w:divBdr>
    </w:div>
    <w:div w:id="147201605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uigalway.ie/irish-centre-human-rights/academics/llmprogrammes/modules/businesshr/" TargetMode="External"/><Relationship Id="rId13" Type="http://schemas.openxmlformats.org/officeDocument/2006/relationships/hyperlink" Target="http://climatecasechart.com/non-us-case/sacchi-et-al-v-argentina-et-al/" TargetMode="External"/><Relationship Id="rId18" Type="http://schemas.openxmlformats.org/officeDocument/2006/relationships/hyperlink" Target="https://www.technologyreview.com/2020/07/27/1005641/carbon-border-taxes-eu-climate-change-opin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limatecasechart.com/wp-content/uploads/sites/16/non-us-case-documents/2020/20201222_HR-2020-846-J_judgment.pdf" TargetMode="External"/><Relationship Id="rId7" Type="http://schemas.openxmlformats.org/officeDocument/2006/relationships/hyperlink" Target="mailto:gliston@glanlaw.org" TargetMode="External"/><Relationship Id="rId12" Type="http://schemas.openxmlformats.org/officeDocument/2006/relationships/hyperlink" Target="http://climatecasechart.com/wp-content/uploads/sites/16/non-us-case-documents/2020/20200505_No.-A-29922017_judgment.pdf" TargetMode="External"/><Relationship Id="rId17" Type="http://schemas.openxmlformats.org/officeDocument/2006/relationships/hyperlink" Target="https://voelkerrechtsblog.org/all-that-glitters-is-not-gold/"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limatecasechart.com/wp-content/uploads/sites/16/non-us-case-documents/2021/20211013_Application-no.-5360020_reply-5.pdf" TargetMode="External"/><Relationship Id="rId20" Type="http://schemas.openxmlformats.org/officeDocument/2006/relationships/hyperlink" Target="http://climatecasechart.com/wp-content/uploads/sites/16/non-us-case-documents/2021/20210526_8918_judgment-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imatecasechart.com/wp-content/uploads/sites/16/non-us-case-documents/2021/20210324_11817_order-1.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climatecasechart.com/wp-content/uploads/sites/16/non-us-case-documents/2021/20211013_Application-no.-5360020_reply-4.pdf" TargetMode="External"/><Relationship Id="rId23" Type="http://schemas.openxmlformats.org/officeDocument/2006/relationships/hyperlink" Target="http://opiniojuris.org/2021/07/29/ecocide-environmental-crime-of-crimes-or-ill-conceived-concept/" TargetMode="External"/><Relationship Id="rId10" Type="http://schemas.openxmlformats.org/officeDocument/2006/relationships/hyperlink" Target="http://climatecasechart.com/wp-content/uploads/sites/16/non-us-case-documents/2020/20200113_2015-HAZA-C0900456689_judgment.pdf" TargetMode="External"/><Relationship Id="rId19" Type="http://schemas.openxmlformats.org/officeDocument/2006/relationships/hyperlink" Target="https://www.research.manchester.ac.uk/portal/files/213256008/Tyndall_Production_Phaseout_Report_final_text_3_.pdf" TargetMode="External"/><Relationship Id="rId4" Type="http://schemas.openxmlformats.org/officeDocument/2006/relationships/webSettings" Target="webSettings.xml"/><Relationship Id="rId9" Type="http://schemas.openxmlformats.org/officeDocument/2006/relationships/hyperlink" Target="http://blackboard.nuigalway.ie" TargetMode="External"/><Relationship Id="rId14" Type="http://schemas.openxmlformats.org/officeDocument/2006/relationships/hyperlink" Target="http://climatecasechart.com/wp-content/uploads/sites/16/non-us-case-documents/2021/20211013_Application-no.-5360020_reply-3.pdf" TargetMode="External"/><Relationship Id="rId22" Type="http://schemas.openxmlformats.org/officeDocument/2006/relationships/hyperlink" Target="https://www.clientearth.org/media/puojyzvy/clientearth-shareholder-litigation-against-shell-s-board-faq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BUSINESS AND HUMAN RIGHTS</vt:lpstr>
    </vt:vector>
  </TitlesOfParts>
  <Company>NUIGalway</Company>
  <LinksUpToDate>false</LinksUpToDate>
  <CharactersWithSpaces>12750</CharactersWithSpaces>
  <SharedDoc>false</SharedDoc>
  <HLinks>
    <vt:vector size="108" baseType="variant">
      <vt:variant>
        <vt:i4>4915287</vt:i4>
      </vt:variant>
      <vt:variant>
        <vt:i4>51</vt:i4>
      </vt:variant>
      <vt:variant>
        <vt:i4>0</vt:i4>
      </vt:variant>
      <vt:variant>
        <vt:i4>5</vt:i4>
      </vt:variant>
      <vt:variant>
        <vt:lpwstr>http://opiniojuris.org/2021/07/29/ecocide-environmental-crime-of-crimes-or-ill-conceived-concept/</vt:lpwstr>
      </vt:variant>
      <vt:variant>
        <vt:lpwstr/>
      </vt:variant>
      <vt:variant>
        <vt:i4>5242968</vt:i4>
      </vt:variant>
      <vt:variant>
        <vt:i4>48</vt:i4>
      </vt:variant>
      <vt:variant>
        <vt:i4>0</vt:i4>
      </vt:variant>
      <vt:variant>
        <vt:i4>5</vt:i4>
      </vt:variant>
      <vt:variant>
        <vt:lpwstr>https://www.clientearth.org/media/puojyzvy/clientearth-shareholder-litigation-against-shell-s-board-faqs.pdf</vt:lpwstr>
      </vt:variant>
      <vt:variant>
        <vt:lpwstr/>
      </vt:variant>
      <vt:variant>
        <vt:i4>2097207</vt:i4>
      </vt:variant>
      <vt:variant>
        <vt:i4>45</vt:i4>
      </vt:variant>
      <vt:variant>
        <vt:i4>0</vt:i4>
      </vt:variant>
      <vt:variant>
        <vt:i4>5</vt:i4>
      </vt:variant>
      <vt:variant>
        <vt:lpwstr>http://climatecasechart.com/wp-content/uploads/sites/16/non-us-case-documents/2020/20201222_HR-2020-846-J_judgment.pdf</vt:lpwstr>
      </vt:variant>
      <vt:variant>
        <vt:lpwstr/>
      </vt:variant>
      <vt:variant>
        <vt:i4>4653127</vt:i4>
      </vt:variant>
      <vt:variant>
        <vt:i4>42</vt:i4>
      </vt:variant>
      <vt:variant>
        <vt:i4>0</vt:i4>
      </vt:variant>
      <vt:variant>
        <vt:i4>5</vt:i4>
      </vt:variant>
      <vt:variant>
        <vt:lpwstr>http://climatecasechart.com/wp-content/uploads/sites/16/non-us-case-documents/2021/20210526_8918_judgment-1.pdf</vt:lpwstr>
      </vt:variant>
      <vt:variant>
        <vt:lpwstr/>
      </vt:variant>
      <vt:variant>
        <vt:i4>2293769</vt:i4>
      </vt:variant>
      <vt:variant>
        <vt:i4>39</vt:i4>
      </vt:variant>
      <vt:variant>
        <vt:i4>0</vt:i4>
      </vt:variant>
      <vt:variant>
        <vt:i4>5</vt:i4>
      </vt:variant>
      <vt:variant>
        <vt:lpwstr>https://www.research.manchester.ac.uk/portal/files/213256008/Tyndall_Production_Phaseout_Report_final_text_3_.pdf</vt:lpwstr>
      </vt:variant>
      <vt:variant>
        <vt:lpwstr/>
      </vt:variant>
      <vt:variant>
        <vt:i4>2293812</vt:i4>
      </vt:variant>
      <vt:variant>
        <vt:i4>36</vt:i4>
      </vt:variant>
      <vt:variant>
        <vt:i4>0</vt:i4>
      </vt:variant>
      <vt:variant>
        <vt:i4>5</vt:i4>
      </vt:variant>
      <vt:variant>
        <vt:lpwstr>https://www.technologyreview.com/2020/07/27/1005641/carbon-border-taxes-eu-climate-change-opinion/</vt:lpwstr>
      </vt:variant>
      <vt:variant>
        <vt:lpwstr/>
      </vt:variant>
      <vt:variant>
        <vt:i4>5832705</vt:i4>
      </vt:variant>
      <vt:variant>
        <vt:i4>33</vt:i4>
      </vt:variant>
      <vt:variant>
        <vt:i4>0</vt:i4>
      </vt:variant>
      <vt:variant>
        <vt:i4>5</vt:i4>
      </vt:variant>
      <vt:variant>
        <vt:lpwstr>https://voelkerrechtsblog.org/all-that-glitters-is-not-gold/</vt:lpwstr>
      </vt:variant>
      <vt:variant>
        <vt:lpwstr/>
      </vt:variant>
      <vt:variant>
        <vt:i4>2424880</vt:i4>
      </vt:variant>
      <vt:variant>
        <vt:i4>30</vt:i4>
      </vt:variant>
      <vt:variant>
        <vt:i4>0</vt:i4>
      </vt:variant>
      <vt:variant>
        <vt:i4>5</vt:i4>
      </vt:variant>
      <vt:variant>
        <vt:lpwstr>http://climatecasechart.com/wp-content/uploads/sites/16/non-us-case-documents/2021/20211013_Application-no.-5360020_reply-5.pdf</vt:lpwstr>
      </vt:variant>
      <vt:variant>
        <vt:lpwstr/>
      </vt:variant>
      <vt:variant>
        <vt:i4>2424881</vt:i4>
      </vt:variant>
      <vt:variant>
        <vt:i4>27</vt:i4>
      </vt:variant>
      <vt:variant>
        <vt:i4>0</vt:i4>
      </vt:variant>
      <vt:variant>
        <vt:i4>5</vt:i4>
      </vt:variant>
      <vt:variant>
        <vt:lpwstr>http://climatecasechart.com/wp-content/uploads/sites/16/non-us-case-documents/2021/20211013_Application-no.-5360020_reply-4.pdf</vt:lpwstr>
      </vt:variant>
      <vt:variant>
        <vt:lpwstr/>
      </vt:variant>
      <vt:variant>
        <vt:i4>2424886</vt:i4>
      </vt:variant>
      <vt:variant>
        <vt:i4>24</vt:i4>
      </vt:variant>
      <vt:variant>
        <vt:i4>0</vt:i4>
      </vt:variant>
      <vt:variant>
        <vt:i4>5</vt:i4>
      </vt:variant>
      <vt:variant>
        <vt:lpwstr>http://climatecasechart.com/wp-content/uploads/sites/16/non-us-case-documents/2021/20211013_Application-no.-5360020_reply-3.pdf</vt:lpwstr>
      </vt:variant>
      <vt:variant>
        <vt:lpwstr/>
      </vt:variant>
      <vt:variant>
        <vt:i4>2490429</vt:i4>
      </vt:variant>
      <vt:variant>
        <vt:i4>21</vt:i4>
      </vt:variant>
      <vt:variant>
        <vt:i4>0</vt:i4>
      </vt:variant>
      <vt:variant>
        <vt:i4>5</vt:i4>
      </vt:variant>
      <vt:variant>
        <vt:lpwstr>http://climatecasechart.com/non-us-case/sacchi-et-al-v-argentina-et-al/</vt:lpwstr>
      </vt:variant>
      <vt:variant>
        <vt:lpwstr/>
      </vt:variant>
      <vt:variant>
        <vt:i4>720980</vt:i4>
      </vt:variant>
      <vt:variant>
        <vt:i4>18</vt:i4>
      </vt:variant>
      <vt:variant>
        <vt:i4>0</vt:i4>
      </vt:variant>
      <vt:variant>
        <vt:i4>5</vt:i4>
      </vt:variant>
      <vt:variant>
        <vt:lpwstr>http://climatecasechart.com/wp-content/uploads/sites/16/non-us-case-documents/2020/20200505_No.-A-29922017_judgment.pdf</vt:lpwstr>
      </vt:variant>
      <vt:variant>
        <vt:lpwstr/>
      </vt:variant>
      <vt:variant>
        <vt:i4>196689</vt:i4>
      </vt:variant>
      <vt:variant>
        <vt:i4>15</vt:i4>
      </vt:variant>
      <vt:variant>
        <vt:i4>0</vt:i4>
      </vt:variant>
      <vt:variant>
        <vt:i4>5</vt:i4>
      </vt:variant>
      <vt:variant>
        <vt:lpwstr>http://climatecasechart.com/wp-content/uploads/sites/16/non-us-case-documents/2021/20210324_11817_order-1.pdf</vt:lpwstr>
      </vt:variant>
      <vt:variant>
        <vt:lpwstr/>
      </vt:variant>
      <vt:variant>
        <vt:i4>5111887</vt:i4>
      </vt:variant>
      <vt:variant>
        <vt:i4>12</vt:i4>
      </vt:variant>
      <vt:variant>
        <vt:i4>0</vt:i4>
      </vt:variant>
      <vt:variant>
        <vt:i4>5</vt:i4>
      </vt:variant>
      <vt:variant>
        <vt:lpwstr>https://climateactiontracker.org/methodology/cat-rating-methodology/finance/</vt:lpwstr>
      </vt:variant>
      <vt:variant>
        <vt:lpwstr/>
      </vt:variant>
      <vt:variant>
        <vt:i4>6553706</vt:i4>
      </vt:variant>
      <vt:variant>
        <vt:i4>9</vt:i4>
      </vt:variant>
      <vt:variant>
        <vt:i4>0</vt:i4>
      </vt:variant>
      <vt:variant>
        <vt:i4>5</vt:i4>
      </vt:variant>
      <vt:variant>
        <vt:lpwstr>http://climatecasechart.com/wp-content/uploads/sites/16/non-us-case-documents/2020/20200113_2015-HAZA-C0900456689_judgment.pdf</vt:lpwstr>
      </vt:variant>
      <vt:variant>
        <vt:lpwstr/>
      </vt:variant>
      <vt:variant>
        <vt:i4>2359392</vt:i4>
      </vt:variant>
      <vt:variant>
        <vt:i4>6</vt:i4>
      </vt:variant>
      <vt:variant>
        <vt:i4>0</vt:i4>
      </vt:variant>
      <vt:variant>
        <vt:i4>5</vt:i4>
      </vt:variant>
      <vt:variant>
        <vt:lpwstr>http://blackboard.nuigalway.ie/</vt:lpwstr>
      </vt:variant>
      <vt:variant>
        <vt:lpwstr/>
      </vt:variant>
      <vt:variant>
        <vt:i4>5242899</vt:i4>
      </vt:variant>
      <vt:variant>
        <vt:i4>3</vt:i4>
      </vt:variant>
      <vt:variant>
        <vt:i4>0</vt:i4>
      </vt:variant>
      <vt:variant>
        <vt:i4>5</vt:i4>
      </vt:variant>
      <vt:variant>
        <vt:lpwstr>http://www.nuigalway.ie/irish-centre-human-rights/academics/llmprogrammes/modules/businesshr/</vt:lpwstr>
      </vt:variant>
      <vt:variant>
        <vt:lpwstr/>
      </vt:variant>
      <vt:variant>
        <vt:i4>6488133</vt:i4>
      </vt:variant>
      <vt:variant>
        <vt:i4>0</vt:i4>
      </vt:variant>
      <vt:variant>
        <vt:i4>0</vt:i4>
      </vt:variant>
      <vt:variant>
        <vt:i4>5</vt:i4>
      </vt:variant>
      <vt:variant>
        <vt:lpwstr>mailto:gliston@glanlaw.org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AND HUMAN RIGHTS</dc:title>
  <dc:subject/>
  <dc:creator>user</dc:creator>
  <cp:keywords/>
  <dc:description/>
  <cp:lastModifiedBy>Gerry Liston</cp:lastModifiedBy>
  <cp:revision>19</cp:revision>
  <cp:lastPrinted>2018-08-28T13:38:00Z</cp:lastPrinted>
  <dcterms:created xsi:type="dcterms:W3CDTF">2023-01-04T10:49:00Z</dcterms:created>
  <dcterms:modified xsi:type="dcterms:W3CDTF">2023-12-08T09:06:00Z</dcterms:modified>
</cp:coreProperties>
</file>